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85B6" w14:textId="77777777" w:rsidR="0010644D" w:rsidRDefault="004E74C7">
      <w:pPr>
        <w:pStyle w:val="Titolo"/>
        <w:jc w:val="center"/>
      </w:pPr>
      <w:r>
        <w:t>EU GREEN WEEK 2026 – ACEA PARTNER EVENT PROPOSAL</w:t>
      </w:r>
    </w:p>
    <w:p w14:paraId="45948736" w14:textId="77777777" w:rsidR="0010644D" w:rsidRDefault="004E74C7">
      <w:pPr>
        <w:pStyle w:val="Titolo1"/>
      </w:pPr>
      <w:r>
        <w:t>1. General Information</w:t>
      </w:r>
    </w:p>
    <w:p w14:paraId="6E13F243" w14:textId="77777777" w:rsidR="0010644D" w:rsidRDefault="004E74C7">
      <w:r>
        <w:t>Event: EU Green Week 2026 Partner Event</w:t>
      </w:r>
      <w:r>
        <w:br/>
        <w:t>Theme: Investing in a Nature-Positive Economy</w:t>
      </w:r>
      <w:r>
        <w:br/>
        <w:t>Proposed Date: 10 June 2026</w:t>
      </w:r>
      <w:r>
        <w:br/>
        <w:t>Location: La Fornace – Acea, Rome - Via dell'Equitazione, 32, 00144 Roma RM</w:t>
      </w:r>
      <w:r>
        <w:br/>
        <w:t>Format: High-level conference (150–200 participants)</w:t>
      </w:r>
    </w:p>
    <w:p w14:paraId="0E41F7C4" w14:textId="77777777" w:rsidR="0010644D" w:rsidRDefault="004E74C7">
      <w:pPr>
        <w:pStyle w:val="Titolo1"/>
      </w:pPr>
      <w:r>
        <w:t>2. Proposed Event Title</w:t>
      </w:r>
    </w:p>
    <w:p w14:paraId="13CAE4C3" w14:textId="77777777" w:rsidR="0010644D" w:rsidRDefault="004E74C7">
      <w:r>
        <w:t>Water Infrastructure as Natural Capital: Unlocking Investment for a Nature-Positive Economy</w:t>
      </w:r>
    </w:p>
    <w:p w14:paraId="69B6B60C" w14:textId="77777777" w:rsidR="0010644D" w:rsidRDefault="004E74C7">
      <w:pPr>
        <w:pStyle w:val="Titolo1"/>
      </w:pPr>
      <w:r>
        <w:t>3. Subtitle</w:t>
      </w:r>
    </w:p>
    <w:p w14:paraId="73012EA8" w14:textId="6BA6B3A4" w:rsidR="00245950" w:rsidRDefault="004E74C7">
      <w:r>
        <w:t>Positioning water infrastructure as a strategic asset to drive sustainable finance, resilience and nature-positive economic growth in Europe.</w:t>
      </w:r>
    </w:p>
    <w:p w14:paraId="500DAE73" w14:textId="77777777" w:rsidR="0010644D" w:rsidRDefault="004E74C7">
      <w:pPr>
        <w:pStyle w:val="Titolo1"/>
      </w:pPr>
      <w:r>
        <w:t>4. Concept and Objectives</w:t>
      </w:r>
    </w:p>
    <w:p w14:paraId="24A973D3" w14:textId="77777777" w:rsidR="00245950" w:rsidRPr="00A4213E" w:rsidRDefault="00245950" w:rsidP="00245950">
      <w:r w:rsidRPr="00A4213E">
        <w:t>This high-level conference addresses a key structural challenge: the persistent financing gap in water infrastructure across Europe, which constrains resilience, environmental protection and competitiveness.</w:t>
      </w:r>
    </w:p>
    <w:p w14:paraId="13CD330E" w14:textId="77777777" w:rsidR="00245950" w:rsidRPr="00A4213E" w:rsidRDefault="00245950" w:rsidP="00245950">
      <w:r w:rsidRPr="00A4213E">
        <w:t xml:space="preserve">Water systems — including wastewater treatment, reuse and resource recovery — generate significant environmental </w:t>
      </w:r>
      <w:proofErr w:type="gramStart"/>
      <w:r w:rsidRPr="00A4213E">
        <w:t>value, yet</w:t>
      </w:r>
      <w:proofErr w:type="gramEnd"/>
      <w:r w:rsidRPr="00A4213E">
        <w:t xml:space="preserve"> remain under-</w:t>
      </w:r>
      <w:proofErr w:type="spellStart"/>
      <w:r w:rsidRPr="00A4213E">
        <w:t>recognised</w:t>
      </w:r>
      <w:proofErr w:type="spellEnd"/>
      <w:r w:rsidRPr="00A4213E">
        <w:t xml:space="preserve"> within “investing in nature” frameworks and sustainable finance mechanisms.</w:t>
      </w:r>
    </w:p>
    <w:p w14:paraId="422C6BEA" w14:textId="77777777" w:rsidR="00245950" w:rsidRPr="00A4213E" w:rsidRDefault="00245950" w:rsidP="00245950">
      <w:r w:rsidRPr="00A4213E">
        <w:t>Building on Acea’s ongoing work on the European Water Resilience Strategy, which identifies water as a critical yet undervalued economic asset and highlights the need to unlock large-scale investments through new governance and financial approaches, the event aims to position water infrastructure as natural capital and to foster dialogue among policymakers, investors and industry leaders.</w:t>
      </w:r>
    </w:p>
    <w:p w14:paraId="1EB37010" w14:textId="23266D33" w:rsidR="00245950" w:rsidRPr="00A4213E" w:rsidRDefault="00245950" w:rsidP="00245950">
      <w:proofErr w:type="gramStart"/>
      <w:r w:rsidRPr="00A4213E">
        <w:t>Particular attention</w:t>
      </w:r>
      <w:proofErr w:type="gramEnd"/>
      <w:r w:rsidRPr="00A4213E">
        <w:t xml:space="preserve"> will be given to scalable financial solutions to bridge this gap, including emerging tools such as Nature Credits, blue bonds and other market-based mechanisms, aimed at better capturing the environmental and economic value generated by water systems. A dedicated focus will also be placed on the EU Nature Credits framework, in </w:t>
      </w:r>
      <w:r w:rsidRPr="00A4213E">
        <w:lastRenderedPageBreak/>
        <w:t>connection with the European Water Resilience Strategy, to support the recognition of water systems within biodiversity and nature-related finance.</w:t>
      </w:r>
    </w:p>
    <w:p w14:paraId="3474A646" w14:textId="77777777" w:rsidR="0010644D" w:rsidRDefault="004E74C7">
      <w:pPr>
        <w:pStyle w:val="Titolo1"/>
      </w:pPr>
      <w:r>
        <w:t>5. Target Audience</w:t>
      </w:r>
    </w:p>
    <w:p w14:paraId="7243D3BA" w14:textId="16F4CA6E" w:rsidR="00C11E35" w:rsidRPr="00A4213E" w:rsidRDefault="00C11E35" w:rsidP="00C11E35">
      <w:pPr>
        <w:numPr>
          <w:ilvl w:val="0"/>
          <w:numId w:val="11"/>
        </w:numPr>
      </w:pPr>
      <w:r w:rsidRPr="00A4213E">
        <w:t>European, national and regional policymakers and institutions</w:t>
      </w:r>
    </w:p>
    <w:p w14:paraId="2F1E6CB3" w14:textId="77777777" w:rsidR="00C11E35" w:rsidRPr="00C11E35" w:rsidRDefault="00C11E35" w:rsidP="00C11E35">
      <w:pPr>
        <w:numPr>
          <w:ilvl w:val="0"/>
          <w:numId w:val="11"/>
        </w:numPr>
        <w:rPr>
          <w:lang w:val="it-IT"/>
        </w:rPr>
      </w:pPr>
      <w:r w:rsidRPr="00C11E35">
        <w:rPr>
          <w:lang w:val="it-IT"/>
        </w:rPr>
        <w:t xml:space="preserve">Academia and </w:t>
      </w:r>
      <w:proofErr w:type="spellStart"/>
      <w:r w:rsidRPr="00C11E35">
        <w:rPr>
          <w:lang w:val="it-IT"/>
        </w:rPr>
        <w:t>civil</w:t>
      </w:r>
      <w:proofErr w:type="spellEnd"/>
      <w:r w:rsidRPr="00C11E35">
        <w:rPr>
          <w:lang w:val="it-IT"/>
        </w:rPr>
        <w:t xml:space="preserve"> society </w:t>
      </w:r>
      <w:proofErr w:type="spellStart"/>
      <w:r w:rsidRPr="00C11E35">
        <w:rPr>
          <w:lang w:val="it-IT"/>
        </w:rPr>
        <w:t>representatives</w:t>
      </w:r>
      <w:proofErr w:type="spellEnd"/>
    </w:p>
    <w:p w14:paraId="3D3CD8AF" w14:textId="0CE831D5" w:rsidR="00C11E35" w:rsidRPr="00C11E35" w:rsidRDefault="00C11E35" w:rsidP="00C11E35">
      <w:pPr>
        <w:numPr>
          <w:ilvl w:val="0"/>
          <w:numId w:val="11"/>
        </w:numPr>
        <w:rPr>
          <w:lang w:val="it-IT"/>
        </w:rPr>
      </w:pPr>
      <w:r w:rsidRPr="00C11E35">
        <w:rPr>
          <w:lang w:val="it-IT"/>
        </w:rPr>
        <w:t xml:space="preserve">Corporate </w:t>
      </w:r>
      <w:proofErr w:type="spellStart"/>
      <w:r w:rsidRPr="00C11E35">
        <w:rPr>
          <w:lang w:val="it-IT"/>
        </w:rPr>
        <w:t>actors</w:t>
      </w:r>
      <w:proofErr w:type="spellEnd"/>
      <w:r w:rsidRPr="00C11E35">
        <w:rPr>
          <w:lang w:val="it-IT"/>
        </w:rPr>
        <w:t xml:space="preserve"> </w:t>
      </w:r>
    </w:p>
    <w:p w14:paraId="62517A41" w14:textId="77777777" w:rsidR="00C11E35" w:rsidRPr="00C11E35" w:rsidRDefault="00C11E35" w:rsidP="00C11E35">
      <w:pPr>
        <w:numPr>
          <w:ilvl w:val="0"/>
          <w:numId w:val="11"/>
        </w:numPr>
        <w:rPr>
          <w:lang w:val="it-IT"/>
        </w:rPr>
      </w:pPr>
      <w:proofErr w:type="spellStart"/>
      <w:r w:rsidRPr="00C11E35">
        <w:rPr>
          <w:lang w:val="it-IT"/>
        </w:rPr>
        <w:t>Investors</w:t>
      </w:r>
      <w:proofErr w:type="spellEnd"/>
      <w:r w:rsidRPr="00C11E35">
        <w:rPr>
          <w:lang w:val="it-IT"/>
        </w:rPr>
        <w:t xml:space="preserve"> and </w:t>
      </w:r>
      <w:proofErr w:type="spellStart"/>
      <w:r w:rsidRPr="00C11E35">
        <w:rPr>
          <w:lang w:val="it-IT"/>
        </w:rPr>
        <w:t>financial</w:t>
      </w:r>
      <w:proofErr w:type="spellEnd"/>
      <w:r w:rsidRPr="00C11E35">
        <w:rPr>
          <w:lang w:val="it-IT"/>
        </w:rPr>
        <w:t xml:space="preserve"> institutions</w:t>
      </w:r>
    </w:p>
    <w:p w14:paraId="6ACBF0CB" w14:textId="77777777" w:rsidR="00C11E35" w:rsidRPr="00A4213E" w:rsidRDefault="00C11E35" w:rsidP="00C11E35">
      <w:pPr>
        <w:numPr>
          <w:ilvl w:val="0"/>
          <w:numId w:val="11"/>
        </w:numPr>
      </w:pPr>
      <w:r w:rsidRPr="00A4213E">
        <w:t>Experts and stakeholders in sustainability and infrastructure</w:t>
      </w:r>
    </w:p>
    <w:p w14:paraId="52F980C0" w14:textId="49EDE64B" w:rsidR="00245950" w:rsidRPr="00C11E35" w:rsidRDefault="00C11E35" w:rsidP="00245950">
      <w:pPr>
        <w:numPr>
          <w:ilvl w:val="0"/>
          <w:numId w:val="11"/>
        </w:numPr>
        <w:rPr>
          <w:lang w:val="it-IT"/>
        </w:rPr>
      </w:pPr>
      <w:r w:rsidRPr="00C11E35">
        <w:rPr>
          <w:lang w:val="it-IT"/>
        </w:rPr>
        <w:t xml:space="preserve">Industry </w:t>
      </w:r>
      <w:proofErr w:type="spellStart"/>
      <w:r w:rsidRPr="00C11E35">
        <w:rPr>
          <w:lang w:val="it-IT"/>
        </w:rPr>
        <w:t>associations</w:t>
      </w:r>
      <w:proofErr w:type="spellEnd"/>
      <w:r w:rsidRPr="00C11E35">
        <w:rPr>
          <w:lang w:val="it-IT"/>
        </w:rPr>
        <w:t xml:space="preserve"> </w:t>
      </w:r>
    </w:p>
    <w:p w14:paraId="12E7CB00" w14:textId="63CA063C" w:rsidR="0010644D" w:rsidRDefault="004E74C7" w:rsidP="00C11E35">
      <w:pPr>
        <w:pStyle w:val="Titolo1"/>
      </w:pPr>
      <w:r>
        <w:t>6. Thematic Areas</w:t>
      </w:r>
    </w:p>
    <w:p w14:paraId="0249FE20" w14:textId="46A8B9D7" w:rsidR="00245950" w:rsidRDefault="004E74C7">
      <w:r>
        <w:t>- Green infrastructure</w:t>
      </w:r>
      <w:r>
        <w:br/>
        <w:t>- Sustainable finance</w:t>
      </w:r>
      <w:r>
        <w:br/>
        <w:t>- Management of natural resources</w:t>
      </w:r>
      <w:r>
        <w:br/>
        <w:t>- Nature-based solutions</w:t>
      </w:r>
      <w:r>
        <w:br/>
      </w:r>
      <w:r w:rsidRPr="00C11E35">
        <w:t>- Nature Credits and biodiversity finance frameworks</w:t>
      </w:r>
    </w:p>
    <w:p w14:paraId="3DB01510" w14:textId="77777777" w:rsidR="0010644D" w:rsidRDefault="004E74C7">
      <w:pPr>
        <w:pStyle w:val="Titolo1"/>
      </w:pPr>
      <w:r>
        <w:t>7. Draft Agenda</w:t>
      </w:r>
    </w:p>
    <w:p w14:paraId="2A9E976E" w14:textId="530F8F2E" w:rsidR="00A4213E" w:rsidRPr="00200447" w:rsidRDefault="00A4213E" w:rsidP="00A4213E">
      <w:pPr>
        <w:rPr>
          <w:b/>
          <w:bCs/>
        </w:rPr>
      </w:pPr>
      <w:r w:rsidRPr="00200447">
        <w:rPr>
          <w:b/>
          <w:bCs/>
        </w:rPr>
        <w:t>10 June 2026</w:t>
      </w:r>
    </w:p>
    <w:p w14:paraId="107D2107" w14:textId="1D39A9C7" w:rsidR="001461A8" w:rsidRDefault="004E74C7" w:rsidP="001461A8">
      <w:pPr>
        <w:spacing w:after="100" w:afterAutospacing="1"/>
      </w:pPr>
      <w:r>
        <w:t xml:space="preserve">15:30 – 16:00 | </w:t>
      </w:r>
      <w:r w:rsidRPr="003E7C96">
        <w:rPr>
          <w:b/>
          <w:bCs/>
        </w:rPr>
        <w:t>Registration and welcome coffee</w:t>
      </w:r>
    </w:p>
    <w:p w14:paraId="382D0362" w14:textId="31E79B32" w:rsidR="001461A8" w:rsidRDefault="004E74C7" w:rsidP="001461A8">
      <w:pPr>
        <w:spacing w:after="100" w:afterAutospacing="1"/>
      </w:pPr>
      <w:r>
        <w:t xml:space="preserve">16:00 – 16:10 | </w:t>
      </w:r>
      <w:r w:rsidRPr="003E7C96">
        <w:rPr>
          <w:b/>
          <w:bCs/>
        </w:rPr>
        <w:t>Opening remarks</w:t>
      </w:r>
    </w:p>
    <w:p w14:paraId="64070BD4" w14:textId="2382D170" w:rsidR="001461A8" w:rsidRDefault="004E74C7" w:rsidP="001461A8">
      <w:pPr>
        <w:spacing w:after="100" w:afterAutospacing="1"/>
        <w:rPr>
          <w:i/>
          <w:iCs/>
        </w:rPr>
      </w:pPr>
      <w:r>
        <w:t xml:space="preserve">16:10 – 17:00 | </w:t>
      </w:r>
      <w:r w:rsidRPr="003E7C96">
        <w:rPr>
          <w:b/>
          <w:bCs/>
        </w:rPr>
        <w:t>Panel – Financing Water as Natural Capital</w:t>
      </w:r>
      <w:r w:rsidRPr="003E7C96">
        <w:rPr>
          <w:b/>
          <w:bCs/>
        </w:rPr>
        <w:br/>
      </w:r>
      <w:r w:rsidR="001461A8" w:rsidRPr="001461A8">
        <w:rPr>
          <w:i/>
          <w:iCs/>
        </w:rPr>
        <w:t>The panel will explore how environmental benefits</w:t>
      </w:r>
      <w:r w:rsidR="001461A8">
        <w:rPr>
          <w:i/>
          <w:iCs/>
        </w:rPr>
        <w:t>,</w:t>
      </w:r>
      <w:r w:rsidR="001461A8" w:rsidRPr="001461A8">
        <w:rPr>
          <w:i/>
          <w:iCs/>
        </w:rPr>
        <w:t xml:space="preserve"> including biodiversity protection, water security, </w:t>
      </w:r>
      <w:r w:rsidR="001461A8">
        <w:rPr>
          <w:i/>
          <w:iCs/>
        </w:rPr>
        <w:t xml:space="preserve">and </w:t>
      </w:r>
      <w:r w:rsidR="001461A8" w:rsidRPr="001461A8">
        <w:rPr>
          <w:i/>
          <w:iCs/>
        </w:rPr>
        <w:t>pollution reduction</w:t>
      </w:r>
      <w:r w:rsidR="001461A8">
        <w:rPr>
          <w:i/>
          <w:iCs/>
        </w:rPr>
        <w:t>, delivered by</w:t>
      </w:r>
      <w:r w:rsidR="001461A8" w:rsidRPr="001461A8">
        <w:rPr>
          <w:i/>
          <w:iCs/>
        </w:rPr>
        <w:t xml:space="preserve"> modern water infrastructure investments</w:t>
      </w:r>
      <w:r w:rsidR="001461A8">
        <w:rPr>
          <w:i/>
          <w:iCs/>
        </w:rPr>
        <w:t>, such as treatment plants and basin restorations, can be included into Nature Credit</w:t>
      </w:r>
      <w:r w:rsidR="001461A8" w:rsidRPr="001461A8">
        <w:rPr>
          <w:i/>
          <w:iCs/>
        </w:rPr>
        <w:t xml:space="preserve"> frameworks and </w:t>
      </w:r>
      <w:r w:rsidR="001461A8">
        <w:rPr>
          <w:i/>
          <w:iCs/>
        </w:rPr>
        <w:t>S</w:t>
      </w:r>
      <w:r w:rsidR="001461A8" w:rsidRPr="001461A8">
        <w:rPr>
          <w:i/>
          <w:iCs/>
        </w:rPr>
        <w:t xml:space="preserve">ustainable </w:t>
      </w:r>
      <w:r w:rsidR="001461A8">
        <w:rPr>
          <w:i/>
          <w:iCs/>
        </w:rPr>
        <w:t>F</w:t>
      </w:r>
      <w:r w:rsidR="001461A8" w:rsidRPr="001461A8">
        <w:rPr>
          <w:i/>
          <w:iCs/>
        </w:rPr>
        <w:t>inance mechanisms</w:t>
      </w:r>
      <w:r w:rsidR="001461A8">
        <w:rPr>
          <w:i/>
          <w:iCs/>
        </w:rPr>
        <w:t xml:space="preserve">. </w:t>
      </w:r>
    </w:p>
    <w:p w14:paraId="0EFE83E2" w14:textId="53FAF2B2" w:rsidR="001461A8" w:rsidRPr="004E74C7" w:rsidRDefault="004E74C7" w:rsidP="001461A8">
      <w:pPr>
        <w:spacing w:after="100" w:afterAutospacing="1"/>
        <w:rPr>
          <w:i/>
          <w:iCs/>
        </w:rPr>
      </w:pPr>
      <w:r>
        <w:t xml:space="preserve">17:00 – 17:50 | </w:t>
      </w:r>
      <w:r w:rsidRPr="003E7C96">
        <w:rPr>
          <w:b/>
          <w:bCs/>
        </w:rPr>
        <w:t>Panel – Infrastructure investment frameworks</w:t>
      </w:r>
      <w:r>
        <w:br/>
      </w:r>
      <w:r w:rsidR="001461A8" w:rsidRPr="001461A8">
        <w:rPr>
          <w:i/>
          <w:iCs/>
        </w:rPr>
        <w:t xml:space="preserve">The panel will explore </w:t>
      </w:r>
      <w:r>
        <w:rPr>
          <w:i/>
          <w:iCs/>
        </w:rPr>
        <w:t>regulatory and financial methodologies, and instruments to translate the natural value of water infrastructure investment into bankable revenue streams.</w:t>
      </w:r>
    </w:p>
    <w:p w14:paraId="2724E719" w14:textId="0F8C4190" w:rsidR="0010644D" w:rsidRPr="001461A8" w:rsidRDefault="004E74C7" w:rsidP="001461A8">
      <w:pPr>
        <w:spacing w:after="100" w:afterAutospacing="1"/>
        <w:rPr>
          <w:i/>
          <w:iCs/>
        </w:rPr>
      </w:pPr>
      <w:r>
        <w:t xml:space="preserve">17:50 – 18:20 | </w:t>
      </w:r>
      <w:r w:rsidRPr="003E7C96">
        <w:rPr>
          <w:b/>
          <w:bCs/>
        </w:rPr>
        <w:t>Final discussion and wrap up</w:t>
      </w:r>
      <w:r>
        <w:br/>
      </w:r>
      <w:r w:rsidR="001461A8">
        <w:br/>
      </w:r>
      <w:r>
        <w:t xml:space="preserve">18:20 – 19:00 | </w:t>
      </w:r>
      <w:r w:rsidRPr="003E7C96">
        <w:rPr>
          <w:b/>
          <w:bCs/>
        </w:rPr>
        <w:t>Networking session</w:t>
      </w:r>
    </w:p>
    <w:sectPr w:rsidR="0010644D" w:rsidRPr="001461A8" w:rsidSect="00034616">
      <w:headerReference w:type="even" r:id="rId11"/>
      <w:head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C285F" w14:textId="77777777" w:rsidR="001C5B3D" w:rsidRDefault="001C5B3D" w:rsidP="009562A3">
      <w:pPr>
        <w:spacing w:after="0" w:line="240" w:lineRule="auto"/>
      </w:pPr>
      <w:r>
        <w:separator/>
      </w:r>
    </w:p>
  </w:endnote>
  <w:endnote w:type="continuationSeparator" w:id="0">
    <w:p w14:paraId="5C3A5B2A" w14:textId="77777777" w:rsidR="001C5B3D" w:rsidRDefault="001C5B3D" w:rsidP="0095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D730" w14:textId="77777777" w:rsidR="001C5B3D" w:rsidRDefault="001C5B3D" w:rsidP="009562A3">
      <w:pPr>
        <w:spacing w:after="0" w:line="240" w:lineRule="auto"/>
      </w:pPr>
      <w:r>
        <w:separator/>
      </w:r>
    </w:p>
  </w:footnote>
  <w:footnote w:type="continuationSeparator" w:id="0">
    <w:p w14:paraId="6574730E" w14:textId="77777777" w:rsidR="001C5B3D" w:rsidRDefault="001C5B3D" w:rsidP="00956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DB91" w14:textId="0014165C" w:rsidR="009562A3" w:rsidRDefault="009562A3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DAA719C" wp14:editId="11F447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93700" cy="368935"/>
              <wp:effectExtent l="0" t="0" r="6350" b="12065"/>
              <wp:wrapNone/>
              <wp:docPr id="1244326156" name="Casella di testo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BA16A" w14:textId="7FDC24D0" w:rsidR="009562A3" w:rsidRPr="009562A3" w:rsidRDefault="009562A3" w:rsidP="009562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62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A71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" style="position:absolute;margin-left:0;margin-top:0;width:31pt;height:29.0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" filled="f" stroked="f">
              <v:textbox style="mso-fit-shape-to-text:t" inset="0,15pt,0,0">
                <w:txbxContent>
                  <w:p w14:paraId="172BA16A" w14:textId="7FDC24D0" w:rsidR="009562A3" w:rsidRPr="009562A3" w:rsidRDefault="009562A3" w:rsidP="009562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562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226C" w14:textId="39371D6D" w:rsidR="009562A3" w:rsidRDefault="009562A3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70A855" wp14:editId="1251807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93700" cy="368935"/>
              <wp:effectExtent l="0" t="0" r="6350" b="12065"/>
              <wp:wrapNone/>
              <wp:docPr id="79945833" name="Casella di testo 1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0FA31" w14:textId="3D7B11CD" w:rsidR="009562A3" w:rsidRPr="009562A3" w:rsidRDefault="009562A3" w:rsidP="009562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62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0A85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Interno" style="position:absolute;margin-left:0;margin-top:0;width:31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" filled="f" stroked="f">
              <v:textbox style="mso-fit-shape-to-text:t" inset="0,15pt,0,0">
                <w:txbxContent>
                  <w:p w14:paraId="41B0FA31" w14:textId="3D7B11CD" w:rsidR="009562A3" w:rsidRPr="009562A3" w:rsidRDefault="009562A3" w:rsidP="009562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562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813983"/>
    <w:multiLevelType w:val="multilevel"/>
    <w:tmpl w:val="4A48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8C11CA"/>
    <w:multiLevelType w:val="hybridMultilevel"/>
    <w:tmpl w:val="436E2EA0"/>
    <w:lvl w:ilvl="0" w:tplc="4DFE8AB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6214467">
    <w:abstractNumId w:val="8"/>
  </w:num>
  <w:num w:numId="2" w16cid:durableId="1825122220">
    <w:abstractNumId w:val="6"/>
  </w:num>
  <w:num w:numId="3" w16cid:durableId="167335603">
    <w:abstractNumId w:val="5"/>
  </w:num>
  <w:num w:numId="4" w16cid:durableId="208692826">
    <w:abstractNumId w:val="4"/>
  </w:num>
  <w:num w:numId="5" w16cid:durableId="1802069115">
    <w:abstractNumId w:val="7"/>
  </w:num>
  <w:num w:numId="6" w16cid:durableId="837577526">
    <w:abstractNumId w:val="3"/>
  </w:num>
  <w:num w:numId="7" w16cid:durableId="1124663970">
    <w:abstractNumId w:val="2"/>
  </w:num>
  <w:num w:numId="8" w16cid:durableId="1234923790">
    <w:abstractNumId w:val="1"/>
  </w:num>
  <w:num w:numId="9" w16cid:durableId="1696536408">
    <w:abstractNumId w:val="0"/>
  </w:num>
  <w:num w:numId="10" w16cid:durableId="1997755660">
    <w:abstractNumId w:val="10"/>
  </w:num>
  <w:num w:numId="11" w16cid:durableId="675768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644D"/>
    <w:rsid w:val="001461A8"/>
    <w:rsid w:val="0015074B"/>
    <w:rsid w:val="001C5B3D"/>
    <w:rsid w:val="00200447"/>
    <w:rsid w:val="00245950"/>
    <w:rsid w:val="00294D22"/>
    <w:rsid w:val="0029547F"/>
    <w:rsid w:val="0029639D"/>
    <w:rsid w:val="00326F90"/>
    <w:rsid w:val="0037242C"/>
    <w:rsid w:val="003E7C96"/>
    <w:rsid w:val="004E74C7"/>
    <w:rsid w:val="00613BD7"/>
    <w:rsid w:val="006342D6"/>
    <w:rsid w:val="007E5E1D"/>
    <w:rsid w:val="008566FA"/>
    <w:rsid w:val="009376AB"/>
    <w:rsid w:val="009562A3"/>
    <w:rsid w:val="00964AC1"/>
    <w:rsid w:val="009875A0"/>
    <w:rsid w:val="00A030F3"/>
    <w:rsid w:val="00A4213E"/>
    <w:rsid w:val="00A828F2"/>
    <w:rsid w:val="00AA1D8D"/>
    <w:rsid w:val="00B47730"/>
    <w:rsid w:val="00C11E35"/>
    <w:rsid w:val="00CB0664"/>
    <w:rsid w:val="00D927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3B41C6"/>
  <w14:defaultImageDpi w14:val="300"/>
  <w15:docId w15:val="{FC9A12B2-49BC-4AEC-9E85-AACB8176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C11E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A7EC5FF9D7DA4BB4C4D55818B07BA3" ma:contentTypeVersion="13" ma:contentTypeDescription="Creare un nuovo documento." ma:contentTypeScope="" ma:versionID="39426b422745b61f589d92a1108abbc6">
  <xsd:schema xmlns:xsd="http://www.w3.org/2001/XMLSchema" xmlns:xs="http://www.w3.org/2001/XMLSchema" xmlns:p="http://schemas.microsoft.com/office/2006/metadata/properties" xmlns:ns2="a725daff-45d7-48fe-9954-a0d253f24fc1" xmlns:ns3="5800813e-a0c4-4e83-ace7-6e92cca95a39" targetNamespace="http://schemas.microsoft.com/office/2006/metadata/properties" ma:root="true" ma:fieldsID="f2844594fec01e7c99a198815c5d5ba2" ns2:_="" ns3:_="">
    <xsd:import namespace="a725daff-45d7-48fe-9954-a0d253f24fc1"/>
    <xsd:import namespace="5800813e-a0c4-4e83-ace7-6e92cca95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5daff-45d7-48fe-9954-a0d253f24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12f47fd-b734-41f0-accc-a5da3c5e7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0813e-a0c4-4e83-ace7-6e92cca95a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00c91c-dbe9-4108-a01d-f08f043541fc}" ma:internalName="TaxCatchAll" ma:showField="CatchAllData" ma:web="5800813e-a0c4-4e83-ace7-6e92cca95a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00813e-a0c4-4e83-ace7-6e92cca95a39" xsi:nil="true"/>
    <lcf76f155ced4ddcb4097134ff3c332f xmlns="a725daff-45d7-48fe-9954-a0d253f24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704AAE-70C5-431D-BB0D-0C5C7212D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FBEE8-EBAD-4D6C-B9A6-E43FBAE23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5daff-45d7-48fe-9954-a0d253f24fc1"/>
    <ds:schemaRef ds:uri="5800813e-a0c4-4e83-ace7-6e92cca95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A3EF3B-7E85-43CB-BC11-513F405C432D}">
  <ds:schemaRefs>
    <ds:schemaRef ds:uri="http://schemas.microsoft.com/office/2006/metadata/properties"/>
    <ds:schemaRef ds:uri="http://schemas.microsoft.com/office/infopath/2007/PartnerControls"/>
    <ds:schemaRef ds:uri="5800813e-a0c4-4e83-ace7-6e92cca95a39"/>
    <ds:schemaRef ds:uri="a725daff-45d7-48fe-9954-a0d253f24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2737</Characters>
  <Application>Microsoft Office Word</Application>
  <DocSecurity>0</DocSecurity>
  <Lines>60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Revisore</cp:lastModifiedBy>
  <cp:revision>3</cp:revision>
  <dcterms:created xsi:type="dcterms:W3CDTF">2026-04-14T12:51:00Z</dcterms:created>
  <dcterms:modified xsi:type="dcterms:W3CDTF">2026-04-14T12:51:00Z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4c3e069,4a2ae90c,3e8bc308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Interno</vt:lpwstr>
  </property>
  <property fmtid="{D5CDD505-2E9C-101B-9397-08002B2CF9AE}" pid="5" name="MSIP_Label_862f103e-ab78-47bf-a5e9-fa8d107218d0_Enabled">
    <vt:lpwstr>true</vt:lpwstr>
  </property>
  <property fmtid="{D5CDD505-2E9C-101B-9397-08002B2CF9AE}" pid="6" name="MSIP_Label_862f103e-ab78-47bf-a5e9-fa8d107218d0_SetDate">
    <vt:lpwstr>2026-03-18T10:47:25Z</vt:lpwstr>
  </property>
  <property fmtid="{D5CDD505-2E9C-101B-9397-08002B2CF9AE}" pid="7" name="MSIP_Label_862f103e-ab78-47bf-a5e9-fa8d107218d0_Method">
    <vt:lpwstr>Standard</vt:lpwstr>
  </property>
  <property fmtid="{D5CDD505-2E9C-101B-9397-08002B2CF9AE}" pid="8" name="MSIP_Label_862f103e-ab78-47bf-a5e9-fa8d107218d0_Name">
    <vt:lpwstr>Interno</vt:lpwstr>
  </property>
  <property fmtid="{D5CDD505-2E9C-101B-9397-08002B2CF9AE}" pid="9" name="MSIP_Label_862f103e-ab78-47bf-a5e9-fa8d107218d0_SiteId">
    <vt:lpwstr>30050294-6ca9-4e23-b139-cd78dd5127fe</vt:lpwstr>
  </property>
  <property fmtid="{D5CDD505-2E9C-101B-9397-08002B2CF9AE}" pid="10" name="MSIP_Label_862f103e-ab78-47bf-a5e9-fa8d107218d0_ActionId">
    <vt:lpwstr>4d4cccb2-255a-4d5f-b57f-9a7d5304607f</vt:lpwstr>
  </property>
  <property fmtid="{D5CDD505-2E9C-101B-9397-08002B2CF9AE}" pid="11" name="MSIP_Label_862f103e-ab78-47bf-a5e9-fa8d107218d0_ContentBits">
    <vt:lpwstr>1</vt:lpwstr>
  </property>
  <property fmtid="{D5CDD505-2E9C-101B-9397-08002B2CF9AE}" pid="12" name="MSIP_Label_862f103e-ab78-47bf-a5e9-fa8d107218d0_Tag">
    <vt:lpwstr>10, 3, 0, 1</vt:lpwstr>
  </property>
  <property fmtid="{D5CDD505-2E9C-101B-9397-08002B2CF9AE}" pid="13" name="ContentTypeId">
    <vt:lpwstr>0x010100C6A7EC5FF9D7DA4BB4C4D55818B07BA3</vt:lpwstr>
  </property>
  <property fmtid="{D5CDD505-2E9C-101B-9397-08002B2CF9AE}" pid="14" name="MediaServiceImageTags">
    <vt:lpwstr/>
  </property>
</Properties>
</file>