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B39B" w14:textId="42C3033E" w:rsidR="00AB67AE" w:rsidRPr="00AC4714" w:rsidRDefault="00030296" w:rsidP="00AC7518">
      <w:pPr>
        <w:pStyle w:val="Title"/>
        <w:kinsoku w:val="0"/>
        <w:overflowPunct w:val="0"/>
        <w:spacing w:before="346"/>
        <w:ind w:right="130"/>
        <w:rPr>
          <w:color w:val="494444"/>
          <w:sz w:val="60"/>
          <w:szCs w:val="60"/>
        </w:rPr>
      </w:pPr>
      <w:r w:rsidRPr="00AC4714">
        <w:rPr>
          <w:color w:val="494444"/>
          <w:sz w:val="60"/>
          <w:szCs w:val="6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946EF" wp14:editId="445DA0D9">
                <wp:simplePos x="0" y="0"/>
                <wp:positionH relativeFrom="column">
                  <wp:posOffset>-645795</wp:posOffset>
                </wp:positionH>
                <wp:positionV relativeFrom="paragraph">
                  <wp:posOffset>-238662</wp:posOffset>
                </wp:positionV>
                <wp:extent cx="3462020" cy="648482"/>
                <wp:effectExtent l="0" t="0" r="0" b="0"/>
                <wp:wrapNone/>
                <wp:docPr id="161488893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648482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D1037" w14:textId="4681ACBB" w:rsidR="00030296" w:rsidRPr="00AC4714" w:rsidRDefault="00030296" w:rsidP="00030296">
                            <w:pPr>
                              <w:pStyle w:val="Title"/>
                              <w:kinsoku w:val="0"/>
                              <w:overflowPunct w:val="0"/>
                              <w:spacing w:before="346"/>
                              <w:ind w:right="130"/>
                              <w:rPr>
                                <w:rFonts w:ascii="Arial" w:hAnsi="Arial" w:cs="Arial"/>
                                <w:b/>
                                <w:bCs/>
                                <w:color w:val="196B24" w:themeColor="accent3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AC4714">
                              <w:rPr>
                                <w:rFonts w:ascii="Arial" w:hAnsi="Arial" w:cs="Arial"/>
                                <w:b/>
                                <w:bCs/>
                                <w:color w:val="196B24" w:themeColor="accent3"/>
                                <w:spacing w:val="0"/>
                                <w:sz w:val="24"/>
                                <w:szCs w:val="24"/>
                              </w:rPr>
                              <w:t>EU</w:t>
                            </w:r>
                            <w:r w:rsidR="0054750B" w:rsidRPr="00AC4714">
                              <w:rPr>
                                <w:rFonts w:ascii="Arial" w:hAnsi="Arial" w:cs="Arial"/>
                                <w:b/>
                                <w:bCs/>
                                <w:color w:val="196B24" w:themeColor="accent3"/>
                                <w:spacing w:val="0"/>
                                <w:sz w:val="24"/>
                                <w:szCs w:val="24"/>
                              </w:rPr>
                              <w:t xml:space="preserve"> G</w:t>
                            </w:r>
                            <w:r w:rsidRPr="00AC4714">
                              <w:rPr>
                                <w:rFonts w:ascii="Arial" w:hAnsi="Arial" w:cs="Arial"/>
                                <w:b/>
                                <w:bCs/>
                                <w:color w:val="196B24" w:themeColor="accent3"/>
                                <w:spacing w:val="0"/>
                                <w:sz w:val="24"/>
                                <w:szCs w:val="24"/>
                              </w:rPr>
                              <w:t>REEN WEEK PARTNER EVENT</w:t>
                            </w:r>
                          </w:p>
                          <w:p w14:paraId="39C0930D" w14:textId="77777777" w:rsidR="00030296" w:rsidRPr="00AC4714" w:rsidRDefault="00030296" w:rsidP="00030296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946EF" id="Rounded Rectangle 1" o:spid="_x0000_s1026" style="position:absolute;margin-left:-50.85pt;margin-top:-18.8pt;width:272.6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" filled="f" stroked="f" strokeweight="1.5pt">
                <v:stroke joinstyle="miter"/>
                <v:textbox inset=",0,,2mm">
                  <w:txbxContent>
                    <w:p w14:paraId="533D1037" w14:textId="4681ACBB" w:rsidR="00030296" w:rsidRPr="00AC4714" w:rsidRDefault="00030296" w:rsidP="00030296">
                      <w:pPr>
                        <w:pStyle w:val="Title"/>
                        <w:kinsoku w:val="0"/>
                        <w:overflowPunct w:val="0"/>
                        <w:spacing w:before="346"/>
                        <w:ind w:right="130"/>
                        <w:rPr>
                          <w:rFonts w:ascii="Arial" w:hAnsi="Arial" w:cs="Arial"/>
                          <w:b/>
                          <w:bCs/>
                          <w:color w:val="196B24" w:themeColor="accent3"/>
                          <w:spacing w:val="0"/>
                          <w:sz w:val="24"/>
                          <w:szCs w:val="24"/>
                        </w:rPr>
                      </w:pPr>
                      <w:r w:rsidRPr="00AC4714">
                        <w:rPr>
                          <w:rFonts w:ascii="Arial" w:hAnsi="Arial" w:cs="Arial"/>
                          <w:b/>
                          <w:bCs/>
                          <w:color w:val="196B24" w:themeColor="accent3"/>
                          <w:spacing w:val="0"/>
                          <w:sz w:val="24"/>
                          <w:szCs w:val="24"/>
                        </w:rPr>
                        <w:t>EU</w:t>
                      </w:r>
                      <w:r w:rsidR="0054750B" w:rsidRPr="00AC4714">
                        <w:rPr>
                          <w:rFonts w:ascii="Arial" w:hAnsi="Arial" w:cs="Arial"/>
                          <w:b/>
                          <w:bCs/>
                          <w:color w:val="196B24" w:themeColor="accent3"/>
                          <w:spacing w:val="0"/>
                          <w:sz w:val="24"/>
                          <w:szCs w:val="24"/>
                        </w:rPr>
                        <w:t xml:space="preserve"> G</w:t>
                      </w:r>
                      <w:r w:rsidRPr="00AC4714">
                        <w:rPr>
                          <w:rFonts w:ascii="Arial" w:hAnsi="Arial" w:cs="Arial"/>
                          <w:b/>
                          <w:bCs/>
                          <w:color w:val="196B24" w:themeColor="accent3"/>
                          <w:spacing w:val="0"/>
                          <w:sz w:val="24"/>
                          <w:szCs w:val="24"/>
                        </w:rPr>
                        <w:t>REEN WEEK PARTNER EVENT</w:t>
                      </w:r>
                    </w:p>
                    <w:p w14:paraId="39C0930D" w14:textId="77777777" w:rsidR="00030296" w:rsidRPr="00AC4714" w:rsidRDefault="00030296" w:rsidP="00030296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A4D360" w14:textId="7E080453" w:rsidR="00CA1E19" w:rsidRPr="00AC4714" w:rsidRDefault="00CA1E19" w:rsidP="00CA1E19"/>
    <w:p w14:paraId="2E153DA7" w14:textId="77777777" w:rsidR="001D2182" w:rsidRPr="00AC4714" w:rsidRDefault="001D2182" w:rsidP="00AB67AE">
      <w:pPr>
        <w:pStyle w:val="Title"/>
        <w:kinsoku w:val="0"/>
        <w:overflowPunct w:val="0"/>
        <w:spacing w:before="346"/>
        <w:ind w:left="-964" w:right="130"/>
        <w:rPr>
          <w:rFonts w:ascii="Arial" w:hAnsi="Arial" w:cs="Arial"/>
          <w:b/>
          <w:bCs/>
          <w:color w:val="EEDBBC"/>
        </w:rPr>
      </w:pPr>
    </w:p>
    <w:p w14:paraId="4008C810" w14:textId="2BEFEAF3" w:rsidR="001D2182" w:rsidRPr="00AC4714" w:rsidRDefault="00842E7B" w:rsidP="00AB67AE">
      <w:pPr>
        <w:pStyle w:val="Title"/>
        <w:kinsoku w:val="0"/>
        <w:overflowPunct w:val="0"/>
        <w:spacing w:before="346"/>
        <w:ind w:left="-964" w:right="130"/>
        <w:rPr>
          <w:rFonts w:ascii="Arial" w:hAnsi="Arial" w:cs="Arial"/>
          <w:b/>
          <w:bCs/>
          <w:color w:val="EEDBBC"/>
        </w:rPr>
      </w:pPr>
      <w:r w:rsidRPr="00AC4714">
        <w:rPr>
          <w:rFonts w:ascii="Arial" w:hAnsi="Arial" w:cs="Arial"/>
          <w:b/>
          <w:bCs/>
          <w:color w:val="EEDBBC"/>
        </w:rPr>
        <w:t>Deposit Return Systems</w:t>
      </w:r>
    </w:p>
    <w:p w14:paraId="38D6C510" w14:textId="7FEAED2E" w:rsidR="00AB67AE" w:rsidRPr="00AC4714" w:rsidRDefault="00F00236" w:rsidP="00AB67AE">
      <w:pPr>
        <w:pStyle w:val="Title"/>
        <w:kinsoku w:val="0"/>
        <w:overflowPunct w:val="0"/>
        <w:spacing w:before="346"/>
        <w:ind w:left="-964" w:right="130"/>
        <w:rPr>
          <w:rFonts w:ascii="Arial" w:hAnsi="Arial" w:cs="Arial"/>
          <w:b/>
          <w:bCs/>
          <w:color w:val="EEDBBC"/>
        </w:rPr>
      </w:pPr>
      <w:r w:rsidRPr="00AC4714">
        <w:rPr>
          <w:rFonts w:ascii="Arial" w:hAnsi="Arial" w:cs="Arial"/>
          <w:b/>
          <w:bCs/>
          <w:color w:val="EEDBBC"/>
        </w:rPr>
        <w:t>Delivering on Circularity Post-PPWR</w:t>
      </w:r>
    </w:p>
    <w:p w14:paraId="2252C99C" w14:textId="77777777" w:rsidR="00AB67AE" w:rsidRPr="00AC4714" w:rsidRDefault="00AB67AE" w:rsidP="00AB67AE">
      <w:pPr>
        <w:ind w:hanging="1134"/>
      </w:pPr>
    </w:p>
    <w:p w14:paraId="4A038DFA" w14:textId="77777777" w:rsidR="000C6613" w:rsidRPr="00AC4714" w:rsidRDefault="000C6613" w:rsidP="000C6613">
      <w:pPr>
        <w:pStyle w:val="BodyText"/>
        <w:kinsoku w:val="0"/>
        <w:overflowPunct w:val="0"/>
        <w:ind w:left="-993" w:right="130"/>
        <w:rPr>
          <w:color w:val="99DB5B"/>
          <w:sz w:val="32"/>
          <w:szCs w:val="32"/>
        </w:rPr>
      </w:pPr>
      <w:r w:rsidRPr="00AC4714">
        <w:rPr>
          <w:color w:val="99DB5B"/>
          <w:sz w:val="32"/>
          <w:szCs w:val="32"/>
        </w:rPr>
        <w:t>Permanent Representation of Lithuania to the European Union</w:t>
      </w:r>
    </w:p>
    <w:tbl>
      <w:tblPr>
        <w:tblStyle w:val="TableGrid"/>
        <w:tblpPr w:leftFromText="180" w:rightFromText="180" w:vertAnchor="text" w:horzAnchor="margin" w:tblpX="-572" w:tblpY="2342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7310"/>
      </w:tblGrid>
      <w:tr w:rsidR="00967BA8" w:rsidRPr="00AC4714" w14:paraId="4CFC7032" w14:textId="77777777" w:rsidTr="002C29A0">
        <w:trPr>
          <w:trHeight w:val="964"/>
        </w:trPr>
        <w:tc>
          <w:tcPr>
            <w:tcW w:w="2324" w:type="dxa"/>
          </w:tcPr>
          <w:p w14:paraId="02CCC1A1" w14:textId="77777777" w:rsidR="00967BA8" w:rsidRPr="00AC4714" w:rsidRDefault="00967BA8" w:rsidP="00E52BDC">
            <w:pPr>
              <w:pStyle w:val="Heading1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color w:val="3A7C22" w:themeColor="accent6" w:themeShade="BF"/>
                <w:spacing w:val="-1"/>
                <w:sz w:val="22"/>
                <w:szCs w:val="22"/>
                <w:lang w:val="en-GB" w:eastAsia="ko-KR"/>
              </w:rPr>
            </w:pPr>
            <w:r w:rsidRPr="00AC4714">
              <w:rPr>
                <w:rFonts w:ascii="Arial" w:hAnsi="Arial" w:cs="Arial"/>
                <w:b/>
                <w:bCs/>
                <w:color w:val="3A7C22" w:themeColor="accent6" w:themeShade="BF"/>
                <w:spacing w:val="-1"/>
                <w:sz w:val="22"/>
                <w:szCs w:val="22"/>
                <w:lang w:val="en-GB"/>
              </w:rPr>
              <w:t xml:space="preserve">10:20 </w:t>
            </w:r>
            <w:r w:rsidRPr="00AC4714">
              <w:rPr>
                <w:rFonts w:ascii="Arial" w:hAnsi="Arial" w:cs="Arial"/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  <w:t>– 10</w:t>
            </w:r>
            <w:r w:rsidRPr="00AC4714">
              <w:rPr>
                <w:rFonts w:ascii="Arial" w:hAnsi="Arial" w:cs="Arial"/>
                <w:b/>
                <w:bCs/>
                <w:color w:val="3A7C22" w:themeColor="accent6" w:themeShade="BF"/>
                <w:spacing w:val="-1"/>
                <w:sz w:val="22"/>
                <w:szCs w:val="22"/>
                <w:lang w:val="en-GB"/>
              </w:rPr>
              <w:t>:50</w:t>
            </w:r>
          </w:p>
        </w:tc>
        <w:tc>
          <w:tcPr>
            <w:tcW w:w="7310" w:type="dxa"/>
          </w:tcPr>
          <w:p w14:paraId="042CFD42" w14:textId="77777777" w:rsidR="00967BA8" w:rsidRPr="00AC4714" w:rsidRDefault="00967BA8" w:rsidP="00E52BDC">
            <w:pPr>
              <w:pStyle w:val="BodyText"/>
              <w:kinsoku w:val="0"/>
              <w:overflowPunct w:val="0"/>
              <w:spacing w:before="33"/>
              <w:ind w:left="127"/>
              <w:rPr>
                <w:b/>
                <w:bCs/>
                <w:color w:val="3A7C22" w:themeColor="accent6" w:themeShade="BF"/>
                <w:sz w:val="24"/>
                <w:szCs w:val="24"/>
                <w:lang w:val="en-GB"/>
              </w:rPr>
            </w:pPr>
            <w:r w:rsidRPr="00AC4714">
              <w:rPr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  <w:t>Security checks and registration</w:t>
            </w:r>
          </w:p>
        </w:tc>
      </w:tr>
      <w:tr w:rsidR="00967BA8" w:rsidRPr="00AC4714" w14:paraId="171186D9" w14:textId="77777777" w:rsidTr="002C29A0">
        <w:trPr>
          <w:trHeight w:val="964"/>
        </w:trPr>
        <w:tc>
          <w:tcPr>
            <w:tcW w:w="2324" w:type="dxa"/>
          </w:tcPr>
          <w:p w14:paraId="0B6906E0" w14:textId="77777777" w:rsidR="00967BA8" w:rsidRPr="00AC4714" w:rsidRDefault="00967BA8" w:rsidP="00E52BDC">
            <w:pPr>
              <w:pStyle w:val="Heading1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color w:val="3A7C22" w:themeColor="accent6" w:themeShade="BF"/>
                <w:spacing w:val="-1"/>
                <w:sz w:val="22"/>
                <w:szCs w:val="22"/>
                <w:lang w:val="en-GB" w:eastAsia="ko-KR"/>
              </w:rPr>
            </w:pPr>
            <w:r w:rsidRPr="00AC4714">
              <w:rPr>
                <w:rFonts w:ascii="Arial" w:hAnsi="Arial" w:cs="Arial"/>
                <w:b/>
                <w:bCs/>
                <w:color w:val="3A7C22" w:themeColor="accent6" w:themeShade="BF"/>
                <w:spacing w:val="-1"/>
                <w:sz w:val="22"/>
                <w:szCs w:val="22"/>
                <w:lang w:val="en-GB"/>
              </w:rPr>
              <w:t xml:space="preserve">11:00 </w:t>
            </w:r>
            <w:r w:rsidRPr="00AC4714">
              <w:rPr>
                <w:rFonts w:ascii="Arial" w:hAnsi="Arial" w:cs="Arial"/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  <w:t>– 11:10</w:t>
            </w:r>
          </w:p>
        </w:tc>
        <w:tc>
          <w:tcPr>
            <w:tcW w:w="7310" w:type="dxa"/>
          </w:tcPr>
          <w:p w14:paraId="573965F6" w14:textId="77777777" w:rsidR="00967BA8" w:rsidRPr="00AC4714" w:rsidRDefault="00967BA8" w:rsidP="00E52BDC">
            <w:pPr>
              <w:pStyle w:val="BodyText"/>
              <w:kinsoku w:val="0"/>
              <w:overflowPunct w:val="0"/>
              <w:spacing w:before="33"/>
              <w:ind w:left="127"/>
              <w:rPr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</w:pPr>
            <w:r w:rsidRPr="00AC4714">
              <w:rPr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  <w:t>Opening by the hosts</w:t>
            </w:r>
          </w:p>
          <w:p w14:paraId="50097D1C" w14:textId="77777777" w:rsidR="00967BA8" w:rsidRPr="00AC4714" w:rsidRDefault="00967BA8" w:rsidP="00E52BDC">
            <w:pPr>
              <w:tabs>
                <w:tab w:val="left" w:pos="241"/>
              </w:tabs>
              <w:kinsoku w:val="0"/>
              <w:overflowPunct w:val="0"/>
              <w:spacing w:before="33"/>
              <w:rPr>
                <w:color w:val="3A7C22" w:themeColor="accent6" w:themeShade="BF"/>
                <w:sz w:val="24"/>
                <w:szCs w:val="24"/>
                <w:lang w:val="en-GB"/>
              </w:rPr>
            </w:pPr>
          </w:p>
        </w:tc>
      </w:tr>
      <w:tr w:rsidR="00967BA8" w:rsidRPr="00AC4714" w14:paraId="0F1144F9" w14:textId="77777777" w:rsidTr="002C29A0">
        <w:trPr>
          <w:trHeight w:val="964"/>
        </w:trPr>
        <w:tc>
          <w:tcPr>
            <w:tcW w:w="2324" w:type="dxa"/>
          </w:tcPr>
          <w:p w14:paraId="166EE6FC" w14:textId="77777777" w:rsidR="00967BA8" w:rsidRPr="00AC4714" w:rsidRDefault="00967BA8" w:rsidP="00E52BDC">
            <w:pPr>
              <w:pStyle w:val="Heading1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color w:val="3A7C22" w:themeColor="accent6" w:themeShade="BF"/>
                <w:spacing w:val="-1"/>
                <w:sz w:val="22"/>
                <w:szCs w:val="22"/>
                <w:lang w:val="en-GB" w:eastAsia="ko-KR"/>
              </w:rPr>
            </w:pPr>
            <w:r w:rsidRPr="00AC4714">
              <w:rPr>
                <w:rFonts w:ascii="Arial" w:hAnsi="Arial" w:cs="Arial"/>
                <w:b/>
                <w:bCs/>
                <w:color w:val="3A7C22" w:themeColor="accent6" w:themeShade="BF"/>
                <w:spacing w:val="-1"/>
                <w:sz w:val="22"/>
                <w:szCs w:val="22"/>
                <w:lang w:val="en-GB"/>
              </w:rPr>
              <w:t xml:space="preserve">11:10 </w:t>
            </w:r>
            <w:r w:rsidRPr="00AC4714">
              <w:rPr>
                <w:rFonts w:ascii="Arial" w:hAnsi="Arial" w:cs="Arial"/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  <w:t>– 11:30</w:t>
            </w:r>
          </w:p>
        </w:tc>
        <w:tc>
          <w:tcPr>
            <w:tcW w:w="7310" w:type="dxa"/>
          </w:tcPr>
          <w:p w14:paraId="37A01535" w14:textId="77777777" w:rsidR="00967BA8" w:rsidRPr="00AC4714" w:rsidRDefault="00967BA8" w:rsidP="00E52BDC">
            <w:pPr>
              <w:pStyle w:val="BodyText"/>
              <w:kinsoku w:val="0"/>
              <w:overflowPunct w:val="0"/>
              <w:spacing w:before="33"/>
              <w:ind w:left="127"/>
              <w:rPr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</w:pPr>
            <w:r w:rsidRPr="00AC4714">
              <w:rPr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  <w:t>Overview of the existing DRS landscape in Europe and its achievements</w:t>
            </w:r>
          </w:p>
          <w:p w14:paraId="135A6CEC" w14:textId="77777777" w:rsidR="00967BA8" w:rsidRPr="00AC4714" w:rsidRDefault="00967BA8" w:rsidP="00E52BDC">
            <w:pPr>
              <w:pStyle w:val="BodyText"/>
              <w:kinsoku w:val="0"/>
              <w:overflowPunct w:val="0"/>
              <w:spacing w:before="33"/>
              <w:ind w:left="127"/>
              <w:rPr>
                <w:i/>
                <w:iCs/>
                <w:color w:val="000000" w:themeColor="text1"/>
                <w:lang w:val="en-GB"/>
              </w:rPr>
            </w:pPr>
            <w:r w:rsidRPr="00AC4714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Clarissa Morawski, CEO and Co-Founder, Reloop</w:t>
            </w:r>
          </w:p>
        </w:tc>
      </w:tr>
      <w:tr w:rsidR="00967BA8" w:rsidRPr="00AC4714" w14:paraId="19D7584A" w14:textId="77777777" w:rsidTr="002C29A0">
        <w:trPr>
          <w:trHeight w:val="964"/>
        </w:trPr>
        <w:tc>
          <w:tcPr>
            <w:tcW w:w="2324" w:type="dxa"/>
          </w:tcPr>
          <w:p w14:paraId="668D7759" w14:textId="22D5C069" w:rsidR="00967BA8" w:rsidRPr="00AC4714" w:rsidRDefault="00967BA8" w:rsidP="00E52BDC">
            <w:pPr>
              <w:pStyle w:val="Heading1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color w:val="3A7C22" w:themeColor="accent6" w:themeShade="BF"/>
                <w:spacing w:val="-1"/>
                <w:sz w:val="22"/>
                <w:szCs w:val="22"/>
                <w:lang w:val="en-GB"/>
              </w:rPr>
            </w:pPr>
            <w:r w:rsidRPr="00AC4714">
              <w:rPr>
                <w:rFonts w:ascii="Arial" w:hAnsi="Arial" w:cs="Arial"/>
                <w:b/>
                <w:bCs/>
                <w:color w:val="3A7C22" w:themeColor="accent6" w:themeShade="BF"/>
                <w:spacing w:val="-1"/>
                <w:sz w:val="22"/>
                <w:szCs w:val="22"/>
                <w:lang w:val="en-GB"/>
              </w:rPr>
              <w:t xml:space="preserve">11:30 </w:t>
            </w:r>
            <w:r w:rsidRPr="00AC4714">
              <w:rPr>
                <w:rFonts w:ascii="Arial" w:hAnsi="Arial" w:cs="Arial"/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  <w:t>– 11:50</w:t>
            </w:r>
          </w:p>
        </w:tc>
        <w:tc>
          <w:tcPr>
            <w:tcW w:w="7310" w:type="dxa"/>
          </w:tcPr>
          <w:p w14:paraId="7D433E01" w14:textId="77777777" w:rsidR="00967BA8" w:rsidRPr="00AC4714" w:rsidRDefault="00967BA8" w:rsidP="00E52BDC">
            <w:pPr>
              <w:pStyle w:val="BodyText"/>
              <w:kinsoku w:val="0"/>
              <w:overflowPunct w:val="0"/>
              <w:spacing w:before="33"/>
              <w:ind w:left="127"/>
              <w:rPr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</w:pPr>
            <w:r w:rsidRPr="00AC4714">
              <w:rPr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  <w:t xml:space="preserve">DRS delivering on the PPWR targets – policy perspective </w:t>
            </w:r>
          </w:p>
          <w:p w14:paraId="5C288731" w14:textId="17AE9F9B" w:rsidR="00967BA8" w:rsidRPr="00AC4714" w:rsidRDefault="00967BA8" w:rsidP="00E52BDC">
            <w:pPr>
              <w:pStyle w:val="BodyText"/>
              <w:kinsoku w:val="0"/>
              <w:overflowPunct w:val="0"/>
              <w:spacing w:before="33"/>
              <w:ind w:left="127"/>
              <w:rPr>
                <w:b/>
                <w:bCs/>
                <w:color w:val="000000" w:themeColor="text1"/>
                <w:lang w:val="en-GB"/>
              </w:rPr>
            </w:pPr>
            <w:r w:rsidRPr="00AC4714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Wolfgang Trunk, Team leader in DG ENV- Unit B.3</w:t>
            </w:r>
          </w:p>
        </w:tc>
      </w:tr>
      <w:tr w:rsidR="00967BA8" w:rsidRPr="00AC4714" w14:paraId="4C838B1D" w14:textId="77777777" w:rsidTr="002C29A0">
        <w:trPr>
          <w:trHeight w:val="964"/>
        </w:trPr>
        <w:tc>
          <w:tcPr>
            <w:tcW w:w="2324" w:type="dxa"/>
          </w:tcPr>
          <w:p w14:paraId="6CE58322" w14:textId="01DA503B" w:rsidR="00967BA8" w:rsidRPr="00AC4714" w:rsidRDefault="00967BA8" w:rsidP="00E52BDC">
            <w:pPr>
              <w:pStyle w:val="Heading1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color w:val="3A7C22" w:themeColor="accent6" w:themeShade="BF"/>
                <w:spacing w:val="-1"/>
                <w:sz w:val="22"/>
                <w:szCs w:val="22"/>
                <w:lang w:val="en-GB"/>
              </w:rPr>
            </w:pPr>
            <w:r w:rsidRPr="00AC4714">
              <w:rPr>
                <w:rFonts w:ascii="Arial" w:hAnsi="Arial" w:cs="Arial"/>
                <w:b/>
                <w:bCs/>
                <w:color w:val="3A7C22" w:themeColor="accent6" w:themeShade="BF"/>
                <w:spacing w:val="-1"/>
                <w:sz w:val="22"/>
                <w:szCs w:val="22"/>
                <w:lang w:val="en-GB"/>
              </w:rPr>
              <w:t xml:space="preserve">11:50 </w:t>
            </w:r>
            <w:r w:rsidRPr="00AC4714">
              <w:rPr>
                <w:rFonts w:ascii="Arial" w:hAnsi="Arial" w:cs="Arial"/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  <w:t>– 12:10</w:t>
            </w:r>
          </w:p>
        </w:tc>
        <w:tc>
          <w:tcPr>
            <w:tcW w:w="7310" w:type="dxa"/>
          </w:tcPr>
          <w:p w14:paraId="2F44A088" w14:textId="77777777" w:rsidR="00967BA8" w:rsidRPr="00AC4714" w:rsidRDefault="00967BA8" w:rsidP="00E52BDC">
            <w:pPr>
              <w:pStyle w:val="BodyText"/>
              <w:kinsoku w:val="0"/>
              <w:overflowPunct w:val="0"/>
              <w:spacing w:before="33"/>
              <w:ind w:left="127"/>
              <w:rPr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</w:pPr>
            <w:r w:rsidRPr="00AC4714">
              <w:rPr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  <w:t xml:space="preserve">National DRS perspective: Lithuania – a success case </w:t>
            </w:r>
          </w:p>
          <w:p w14:paraId="3BE49DB9" w14:textId="76CF449E" w:rsidR="00967BA8" w:rsidRPr="00AC4714" w:rsidRDefault="00967BA8" w:rsidP="00E52BDC">
            <w:pPr>
              <w:pStyle w:val="BodyText"/>
              <w:kinsoku w:val="0"/>
              <w:overflowPunct w:val="0"/>
              <w:spacing w:before="33"/>
              <w:ind w:left="127"/>
              <w:rPr>
                <w:b/>
                <w:bCs/>
                <w:color w:val="000000" w:themeColor="text1"/>
                <w:lang w:val="en-GB"/>
              </w:rPr>
            </w:pPr>
            <w:r w:rsidRPr="00AC4714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Speaker TBC</w:t>
            </w:r>
          </w:p>
        </w:tc>
      </w:tr>
      <w:tr w:rsidR="00967BA8" w:rsidRPr="00AC4714" w14:paraId="7E9D488D" w14:textId="77777777" w:rsidTr="002C29A0">
        <w:trPr>
          <w:trHeight w:val="964"/>
        </w:trPr>
        <w:tc>
          <w:tcPr>
            <w:tcW w:w="2324" w:type="dxa"/>
          </w:tcPr>
          <w:p w14:paraId="15904243" w14:textId="51B5E307" w:rsidR="00967BA8" w:rsidRPr="00AC4714" w:rsidRDefault="00967BA8" w:rsidP="00E52BDC">
            <w:pPr>
              <w:pStyle w:val="Heading1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color w:val="3A7C22" w:themeColor="accent6" w:themeShade="BF"/>
                <w:spacing w:val="-1"/>
                <w:sz w:val="22"/>
                <w:szCs w:val="22"/>
                <w:lang w:val="en-GB"/>
              </w:rPr>
            </w:pPr>
            <w:r w:rsidRPr="00AC4714">
              <w:rPr>
                <w:rFonts w:ascii="Arial" w:hAnsi="Arial" w:cs="Arial"/>
                <w:b/>
                <w:bCs/>
                <w:color w:val="3A7C22" w:themeColor="accent6" w:themeShade="BF"/>
                <w:spacing w:val="-1"/>
                <w:sz w:val="22"/>
                <w:szCs w:val="22"/>
                <w:lang w:val="en-GB"/>
              </w:rPr>
              <w:t xml:space="preserve">12:10 </w:t>
            </w:r>
            <w:r w:rsidRPr="00AC4714">
              <w:rPr>
                <w:rFonts w:ascii="Arial" w:hAnsi="Arial" w:cs="Arial"/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  <w:t>– 12:30</w:t>
            </w:r>
          </w:p>
        </w:tc>
        <w:tc>
          <w:tcPr>
            <w:tcW w:w="7310" w:type="dxa"/>
          </w:tcPr>
          <w:p w14:paraId="49D36CAB" w14:textId="77777777" w:rsidR="00967BA8" w:rsidRPr="00AC4714" w:rsidRDefault="00967BA8" w:rsidP="00E52BDC">
            <w:pPr>
              <w:pStyle w:val="BodyText"/>
              <w:kinsoku w:val="0"/>
              <w:overflowPunct w:val="0"/>
              <w:spacing w:before="33"/>
              <w:ind w:left="127"/>
              <w:rPr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</w:pPr>
            <w:r w:rsidRPr="00AC4714">
              <w:rPr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  <w:t xml:space="preserve">Successful design parameters of DRS and their adjustment to the local context </w:t>
            </w:r>
          </w:p>
          <w:p w14:paraId="5A4AB20B" w14:textId="5A4B3A37" w:rsidR="00967BA8" w:rsidRPr="00AC4714" w:rsidRDefault="00967BA8" w:rsidP="00E52BDC">
            <w:pPr>
              <w:pStyle w:val="BodyText"/>
              <w:kinsoku w:val="0"/>
              <w:overflowPunct w:val="0"/>
              <w:spacing w:before="33"/>
              <w:ind w:left="127"/>
              <w:rPr>
                <w:b/>
                <w:bCs/>
                <w:color w:val="000000" w:themeColor="text1"/>
                <w:lang w:val="en-GB"/>
              </w:rPr>
            </w:pPr>
            <w:r w:rsidRPr="00AC4714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Raymond Gianotten, DRS consultant, </w:t>
            </w:r>
            <w:r w:rsidR="00FD71A0" w:rsidRPr="00AC4714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OLHC</w:t>
            </w:r>
          </w:p>
        </w:tc>
      </w:tr>
      <w:tr w:rsidR="00967BA8" w:rsidRPr="00AC4714" w14:paraId="0D861BC7" w14:textId="77777777" w:rsidTr="002C29A0">
        <w:trPr>
          <w:trHeight w:val="964"/>
        </w:trPr>
        <w:tc>
          <w:tcPr>
            <w:tcW w:w="2324" w:type="dxa"/>
          </w:tcPr>
          <w:p w14:paraId="2BAF2691" w14:textId="2676FC7B" w:rsidR="00967BA8" w:rsidRPr="00AC4714" w:rsidRDefault="00967BA8" w:rsidP="00E52BDC">
            <w:pPr>
              <w:pStyle w:val="Heading1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color w:val="3A7C22" w:themeColor="accent6" w:themeShade="BF"/>
                <w:spacing w:val="-1"/>
                <w:sz w:val="22"/>
                <w:szCs w:val="22"/>
                <w:lang w:val="en-GB"/>
              </w:rPr>
            </w:pPr>
            <w:r w:rsidRPr="00AC4714">
              <w:rPr>
                <w:rFonts w:ascii="Arial" w:hAnsi="Arial" w:cs="Arial"/>
                <w:b/>
                <w:bCs/>
                <w:color w:val="3A7C22" w:themeColor="accent6" w:themeShade="BF"/>
                <w:spacing w:val="-1"/>
                <w:sz w:val="22"/>
                <w:szCs w:val="22"/>
                <w:lang w:val="en-GB"/>
              </w:rPr>
              <w:t xml:space="preserve">12:30 </w:t>
            </w:r>
            <w:r w:rsidRPr="00AC4714">
              <w:rPr>
                <w:rFonts w:ascii="Arial" w:hAnsi="Arial" w:cs="Arial"/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  <w:t>– 13:45</w:t>
            </w:r>
          </w:p>
        </w:tc>
        <w:tc>
          <w:tcPr>
            <w:tcW w:w="7310" w:type="dxa"/>
          </w:tcPr>
          <w:p w14:paraId="79675DCB" w14:textId="3DC0B401" w:rsidR="00967BA8" w:rsidRPr="00AC4714" w:rsidRDefault="00967BA8" w:rsidP="00E52BDC">
            <w:pPr>
              <w:pStyle w:val="BodyText"/>
              <w:kinsoku w:val="0"/>
              <w:overflowPunct w:val="0"/>
              <w:spacing w:before="33"/>
              <w:ind w:left="127"/>
              <w:rPr>
                <w:b/>
                <w:bCs/>
                <w:color w:val="000000" w:themeColor="text1"/>
                <w:lang w:val="en-GB"/>
              </w:rPr>
            </w:pPr>
            <w:r w:rsidRPr="00AC4714">
              <w:rPr>
                <w:b/>
                <w:bCs/>
                <w:color w:val="3A7C22" w:themeColor="accent6" w:themeShade="BF"/>
                <w:sz w:val="22"/>
                <w:szCs w:val="22"/>
                <w:lang w:val="en-GB"/>
              </w:rPr>
              <w:t xml:space="preserve">Conclusion and networking lunch </w:t>
            </w:r>
          </w:p>
        </w:tc>
      </w:tr>
    </w:tbl>
    <w:p w14:paraId="5D0D347F" w14:textId="00F4CA5A" w:rsidR="00AB67AE" w:rsidRPr="00AC4714" w:rsidRDefault="000C6613" w:rsidP="000C6613">
      <w:pPr>
        <w:pStyle w:val="BodyText"/>
        <w:kinsoku w:val="0"/>
        <w:overflowPunct w:val="0"/>
        <w:ind w:left="-993" w:right="130"/>
        <w:rPr>
          <w:color w:val="EEDBBC"/>
          <w:sz w:val="32"/>
          <w:szCs w:val="32"/>
        </w:rPr>
      </w:pPr>
      <w:r w:rsidRPr="00AC4714">
        <w:rPr>
          <w:color w:val="99DB5B"/>
          <w:sz w:val="32"/>
          <w:szCs w:val="32"/>
        </w:rPr>
        <w:t>Rue Belliard 41-41, 1040 Brussels, Belgium</w:t>
      </w:r>
    </w:p>
    <w:p w14:paraId="218FAE2E" w14:textId="1031D70B" w:rsidR="00A74216" w:rsidRPr="00AC4714" w:rsidRDefault="00842E7B" w:rsidP="00AC7518">
      <w:pPr>
        <w:pStyle w:val="BodyText"/>
        <w:kinsoku w:val="0"/>
        <w:overflowPunct w:val="0"/>
        <w:spacing w:after="2360"/>
        <w:ind w:left="170" w:right="130" w:hanging="1134"/>
        <w:rPr>
          <w:color w:val="99DB5B"/>
          <w:sz w:val="44"/>
          <w:szCs w:val="44"/>
        </w:rPr>
      </w:pPr>
      <w:r w:rsidRPr="00AC4714">
        <w:rPr>
          <w:color w:val="99DB5B"/>
          <w:sz w:val="44"/>
          <w:szCs w:val="44"/>
        </w:rPr>
        <w:t>02 June</w:t>
      </w:r>
      <w:r w:rsidR="00E52BDC" w:rsidRPr="00AC4714">
        <w:rPr>
          <w:color w:val="99DB5B"/>
          <w:sz w:val="44"/>
          <w:szCs w:val="44"/>
        </w:rPr>
        <w:t xml:space="preserve"> 2025</w:t>
      </w:r>
    </w:p>
    <w:p w14:paraId="1D186A4C" w14:textId="77777777" w:rsidR="00AD049B" w:rsidRPr="00AC4714" w:rsidRDefault="00AD049B" w:rsidP="00AD049B">
      <w:pPr>
        <w:rPr>
          <w:lang w:eastAsia="ko-KR"/>
        </w:rPr>
      </w:pPr>
    </w:p>
    <w:p w14:paraId="7B3D2BF0" w14:textId="77777777" w:rsidR="00AD049B" w:rsidRPr="00AC4714" w:rsidRDefault="00AD049B" w:rsidP="00AD049B">
      <w:pPr>
        <w:rPr>
          <w:lang w:eastAsia="ko-KR"/>
        </w:rPr>
      </w:pPr>
    </w:p>
    <w:p w14:paraId="3DE5B3A6" w14:textId="77777777" w:rsidR="00AD049B" w:rsidRPr="00AC4714" w:rsidRDefault="00AD049B" w:rsidP="00AD049B">
      <w:pPr>
        <w:rPr>
          <w:lang w:eastAsia="ko-KR"/>
        </w:rPr>
      </w:pPr>
    </w:p>
    <w:p w14:paraId="4D22B745" w14:textId="77777777" w:rsidR="00AD049B" w:rsidRPr="00AC4714" w:rsidRDefault="00AD049B" w:rsidP="00AD049B">
      <w:pPr>
        <w:rPr>
          <w:lang w:eastAsia="ko-KR"/>
        </w:rPr>
      </w:pPr>
    </w:p>
    <w:p w14:paraId="1BF0CDC9" w14:textId="77777777" w:rsidR="00AD049B" w:rsidRPr="00AC4714" w:rsidRDefault="00AD049B" w:rsidP="00AD049B">
      <w:pPr>
        <w:rPr>
          <w:lang w:eastAsia="ko-KR"/>
        </w:rPr>
      </w:pPr>
    </w:p>
    <w:p w14:paraId="02CAB034" w14:textId="77777777" w:rsidR="00AD049B" w:rsidRPr="00AC4714" w:rsidRDefault="00AD049B" w:rsidP="00AD049B">
      <w:pPr>
        <w:rPr>
          <w:lang w:eastAsia="ko-KR"/>
        </w:rPr>
      </w:pPr>
    </w:p>
    <w:p w14:paraId="22D05A68" w14:textId="77777777" w:rsidR="00AD049B" w:rsidRPr="00AC4714" w:rsidRDefault="00AD049B" w:rsidP="00AD049B">
      <w:pPr>
        <w:rPr>
          <w:lang w:eastAsia="ko-KR"/>
        </w:rPr>
      </w:pPr>
    </w:p>
    <w:p w14:paraId="790A58CE" w14:textId="77777777" w:rsidR="00AD049B" w:rsidRPr="00AC4714" w:rsidRDefault="00AD049B" w:rsidP="00AD049B">
      <w:pPr>
        <w:rPr>
          <w:lang w:eastAsia="ko-KR"/>
        </w:rPr>
      </w:pPr>
    </w:p>
    <w:p w14:paraId="4EB9E8A0" w14:textId="77777777" w:rsidR="00AD049B" w:rsidRPr="00AC4714" w:rsidRDefault="00AD049B" w:rsidP="00AD049B">
      <w:pPr>
        <w:rPr>
          <w:lang w:eastAsia="ko-KR"/>
        </w:rPr>
      </w:pPr>
    </w:p>
    <w:p w14:paraId="1A17A264" w14:textId="77777777" w:rsidR="00AD049B" w:rsidRPr="00AC4714" w:rsidRDefault="00AD049B" w:rsidP="00AD049B">
      <w:pPr>
        <w:rPr>
          <w:lang w:eastAsia="ko-KR"/>
        </w:rPr>
      </w:pPr>
    </w:p>
    <w:p w14:paraId="619824C0" w14:textId="77777777" w:rsidR="00AD049B" w:rsidRPr="00AC4714" w:rsidRDefault="00AD049B" w:rsidP="00AD049B">
      <w:pPr>
        <w:rPr>
          <w:lang w:eastAsia="ko-KR"/>
        </w:rPr>
      </w:pPr>
    </w:p>
    <w:p w14:paraId="78B5F910" w14:textId="77777777" w:rsidR="00AD049B" w:rsidRPr="00AC4714" w:rsidRDefault="00AD049B" w:rsidP="00AD049B">
      <w:pPr>
        <w:rPr>
          <w:lang w:eastAsia="ko-KR"/>
        </w:rPr>
      </w:pPr>
    </w:p>
    <w:p w14:paraId="1FA45872" w14:textId="77777777" w:rsidR="00AD049B" w:rsidRPr="00AC4714" w:rsidRDefault="00AD049B" w:rsidP="00AD049B">
      <w:pPr>
        <w:rPr>
          <w:lang w:eastAsia="ko-KR"/>
        </w:rPr>
      </w:pPr>
    </w:p>
    <w:p w14:paraId="391B9530" w14:textId="77777777" w:rsidR="00AD049B" w:rsidRPr="00AC4714" w:rsidRDefault="00AD049B" w:rsidP="00AD049B">
      <w:pPr>
        <w:rPr>
          <w:lang w:eastAsia="ko-KR"/>
        </w:rPr>
      </w:pPr>
    </w:p>
    <w:p w14:paraId="45D91D70" w14:textId="77777777" w:rsidR="00AD049B" w:rsidRPr="00AC4714" w:rsidRDefault="00AD049B" w:rsidP="00AD049B">
      <w:pPr>
        <w:rPr>
          <w:lang w:eastAsia="ko-KR"/>
        </w:rPr>
      </w:pPr>
    </w:p>
    <w:p w14:paraId="1D08CBCA" w14:textId="77777777" w:rsidR="00AD049B" w:rsidRPr="00AC4714" w:rsidRDefault="00AD049B" w:rsidP="00AD049B">
      <w:pPr>
        <w:rPr>
          <w:lang w:eastAsia="ko-KR"/>
        </w:rPr>
      </w:pPr>
    </w:p>
    <w:p w14:paraId="1CFDDAF4" w14:textId="77777777" w:rsidR="00AD049B" w:rsidRPr="00AC4714" w:rsidRDefault="00AD049B" w:rsidP="00AD049B">
      <w:pPr>
        <w:rPr>
          <w:lang w:eastAsia="ko-KR"/>
        </w:rPr>
      </w:pPr>
    </w:p>
    <w:p w14:paraId="219B9431" w14:textId="77777777" w:rsidR="00AD049B" w:rsidRPr="00AC4714" w:rsidRDefault="00AD049B" w:rsidP="00AD049B">
      <w:pPr>
        <w:rPr>
          <w:lang w:eastAsia="ko-KR"/>
        </w:rPr>
      </w:pPr>
    </w:p>
    <w:p w14:paraId="16D9E38E" w14:textId="77777777" w:rsidR="00AD049B" w:rsidRPr="00AC4714" w:rsidRDefault="00AD049B" w:rsidP="00AD049B">
      <w:pPr>
        <w:rPr>
          <w:lang w:eastAsia="ko-KR"/>
        </w:rPr>
      </w:pPr>
    </w:p>
    <w:p w14:paraId="2BC9A7B2" w14:textId="77777777" w:rsidR="00AD049B" w:rsidRPr="00AC4714" w:rsidRDefault="00AD049B" w:rsidP="00AD049B">
      <w:pPr>
        <w:rPr>
          <w:lang w:eastAsia="ko-KR"/>
        </w:rPr>
      </w:pPr>
    </w:p>
    <w:p w14:paraId="2C13EC2E" w14:textId="77777777" w:rsidR="00AD049B" w:rsidRPr="00AC4714" w:rsidRDefault="00AD049B" w:rsidP="00AD049B">
      <w:pPr>
        <w:rPr>
          <w:lang w:eastAsia="ko-KR"/>
        </w:rPr>
      </w:pPr>
    </w:p>
    <w:p w14:paraId="449BC24F" w14:textId="77777777" w:rsidR="00AD049B" w:rsidRPr="00AC4714" w:rsidRDefault="00AD049B" w:rsidP="00AD049B">
      <w:pPr>
        <w:rPr>
          <w:lang w:eastAsia="ko-KR"/>
        </w:rPr>
      </w:pPr>
    </w:p>
    <w:p w14:paraId="36D30C69" w14:textId="77777777" w:rsidR="00AD049B" w:rsidRPr="00AC4714" w:rsidRDefault="00AD049B" w:rsidP="00AD049B">
      <w:pPr>
        <w:rPr>
          <w:lang w:eastAsia="ko-KR"/>
        </w:rPr>
      </w:pPr>
    </w:p>
    <w:p w14:paraId="01182FAC" w14:textId="77777777" w:rsidR="00AD049B" w:rsidRPr="00AC4714" w:rsidRDefault="00AD049B" w:rsidP="00AD049B">
      <w:pPr>
        <w:rPr>
          <w:lang w:eastAsia="ko-KR"/>
        </w:rPr>
      </w:pPr>
    </w:p>
    <w:p w14:paraId="76BD406F" w14:textId="77777777" w:rsidR="00AD049B" w:rsidRPr="00AC4714" w:rsidRDefault="00AD049B" w:rsidP="00AD049B">
      <w:pPr>
        <w:rPr>
          <w:color w:val="99DB5B"/>
          <w:sz w:val="44"/>
          <w:szCs w:val="44"/>
        </w:rPr>
      </w:pPr>
    </w:p>
    <w:tbl>
      <w:tblPr>
        <w:tblStyle w:val="TableGri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AD049B" w:rsidRPr="00AC4714" w14:paraId="7A4861CE" w14:textId="77777777" w:rsidTr="00AD049B">
        <w:tc>
          <w:tcPr>
            <w:tcW w:w="4536" w:type="dxa"/>
            <w:vAlign w:val="center"/>
          </w:tcPr>
          <w:p w14:paraId="7D6BD11B" w14:textId="77777777" w:rsidR="00AD049B" w:rsidRPr="00AC4714" w:rsidRDefault="00AD049B" w:rsidP="00AD049B">
            <w:pPr>
              <w:jc w:val="right"/>
              <w:rPr>
                <w:lang w:val="en-GB"/>
              </w:rPr>
            </w:pPr>
            <w:r w:rsidRPr="00AC4714">
              <w:rPr>
                <w:color w:val="000000" w:themeColor="text1"/>
                <w:spacing w:val="89"/>
                <w:position w:val="11"/>
                <w:sz w:val="20"/>
                <w:szCs w:val="20"/>
                <w:lang w:val="en-GB"/>
                <w14:ligatures w14:val="standardContextual"/>
              </w:rPr>
              <w:drawing>
                <wp:inline distT="0" distB="0" distL="0" distR="0" wp14:anchorId="45DD1E5C" wp14:editId="4A94AF32">
                  <wp:extent cx="1105988" cy="665462"/>
                  <wp:effectExtent l="0" t="0" r="0" b="1905"/>
                  <wp:docPr id="7869277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927718" name="Picture 2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13" t="17361" r="9562" b="16855"/>
                          <a:stretch/>
                        </pic:blipFill>
                        <pic:spPr bwMode="auto">
                          <a:xfrm>
                            <a:off x="0" y="0"/>
                            <a:ext cx="1139904" cy="685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2C41FB09" w14:textId="77777777" w:rsidR="00AD049B" w:rsidRPr="00AC4714" w:rsidRDefault="00AD049B" w:rsidP="00AD049B">
            <w:pPr>
              <w:rPr>
                <w:lang w:val="en-GB"/>
              </w:rPr>
            </w:pPr>
            <w:r w:rsidRPr="00AC4714">
              <w:rPr>
                <w:color w:val="000000" w:themeColor="text1"/>
                <w:spacing w:val="89"/>
                <w:position w:val="11"/>
                <w:sz w:val="20"/>
                <w:szCs w:val="20"/>
                <w:lang w:val="en-GB"/>
                <w14:ligatures w14:val="standardContextual"/>
              </w:rPr>
              <w:drawing>
                <wp:inline distT="0" distB="0" distL="0" distR="0" wp14:anchorId="66258513" wp14:editId="486F21DD">
                  <wp:extent cx="809625" cy="661134"/>
                  <wp:effectExtent l="0" t="0" r="0" b="5715"/>
                  <wp:docPr id="1768770769" name="Picture 3" descr="A black background with a picture of a person riding a hor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770769" name="Picture 3" descr="A black background with a picture of a person riding a hor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08" cy="66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CA194C" w14:textId="77777777" w:rsidR="00AD049B" w:rsidRPr="00AC4714" w:rsidRDefault="00AD049B" w:rsidP="00AD049B">
      <w:pPr>
        <w:ind w:left="-426"/>
        <w:rPr>
          <w:lang w:eastAsia="ko-KR"/>
        </w:rPr>
      </w:pPr>
    </w:p>
    <w:p w14:paraId="5A1D3307" w14:textId="201D2E06" w:rsidR="00AD049B" w:rsidRPr="00AC4714" w:rsidRDefault="00AD049B" w:rsidP="00AD049B">
      <w:pPr>
        <w:rPr>
          <w:lang w:eastAsia="ko-KR"/>
        </w:rPr>
        <w:sectPr w:rsidR="00AD049B" w:rsidRPr="00AC4714" w:rsidSect="00AB67AE">
          <w:footerReference w:type="default" r:id="rId13"/>
          <w:headerReference w:type="first" r:id="rId14"/>
          <w:pgSz w:w="11910" w:h="16840"/>
          <w:pgMar w:top="-491" w:right="600" w:bottom="280" w:left="1680" w:header="0" w:footer="0" w:gutter="0"/>
          <w:cols w:space="720"/>
          <w:noEndnote/>
          <w:titlePg/>
          <w:docGrid w:linePitch="299"/>
        </w:sectPr>
      </w:pPr>
    </w:p>
    <w:p w14:paraId="16324989" w14:textId="67AEE165" w:rsidR="00BD37FB" w:rsidRPr="00C657DD" w:rsidRDefault="00BD37FB" w:rsidP="00B23FDF">
      <w:pPr>
        <w:widowControl/>
        <w:autoSpaceDE/>
        <w:autoSpaceDN/>
        <w:adjustRightInd/>
        <w:spacing w:after="160" w:line="278" w:lineRule="auto"/>
        <w:rPr>
          <w:lang w:val="pt-BR"/>
        </w:rPr>
      </w:pPr>
    </w:p>
    <w:sectPr w:rsidR="00BD37FB" w:rsidRPr="00C657D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275A" w14:textId="77777777" w:rsidR="00416D1C" w:rsidRPr="00AC4714" w:rsidRDefault="00416D1C" w:rsidP="00AB67AE">
      <w:r w:rsidRPr="00AC4714">
        <w:separator/>
      </w:r>
    </w:p>
  </w:endnote>
  <w:endnote w:type="continuationSeparator" w:id="0">
    <w:p w14:paraId="6E37492D" w14:textId="77777777" w:rsidR="00416D1C" w:rsidRPr="00AC4714" w:rsidRDefault="00416D1C" w:rsidP="00AB67AE">
      <w:r w:rsidRPr="00AC47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C35B" w14:textId="77777777" w:rsidR="00AB67AE" w:rsidRPr="00AC4714" w:rsidRDefault="00AB67AE" w:rsidP="005F7FD2">
    <w:pPr>
      <w:pStyle w:val="Footer"/>
      <w:ind w:left="-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464E" w14:textId="77777777" w:rsidR="00416D1C" w:rsidRPr="00AC4714" w:rsidRDefault="00416D1C" w:rsidP="00AB67AE">
      <w:r w:rsidRPr="00AC4714">
        <w:separator/>
      </w:r>
    </w:p>
  </w:footnote>
  <w:footnote w:type="continuationSeparator" w:id="0">
    <w:p w14:paraId="506389E7" w14:textId="77777777" w:rsidR="00416D1C" w:rsidRPr="00AC4714" w:rsidRDefault="00416D1C" w:rsidP="00AB67AE">
      <w:r w:rsidRPr="00AC47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8A0A" w14:textId="3DCBDAA6" w:rsidR="00AB67AE" w:rsidRPr="00AC4714" w:rsidRDefault="00052796" w:rsidP="00CC25FD">
    <w:pPr>
      <w:pStyle w:val="Header"/>
      <w:ind w:left="-1680"/>
    </w:pPr>
    <w:r w:rsidRPr="00AC4714">
      <w:rPr>
        <w14:ligatures w14:val="standardContextual"/>
      </w:rPr>
      <w:drawing>
        <wp:anchor distT="0" distB="0" distL="114300" distR="114300" simplePos="0" relativeHeight="251660288" behindDoc="1" locked="1" layoutInCell="1" allowOverlap="1" wp14:anchorId="508FE76C" wp14:editId="55EFEBEB">
          <wp:simplePos x="0" y="0"/>
          <wp:positionH relativeFrom="page">
            <wp:posOffset>0</wp:posOffset>
          </wp:positionH>
          <wp:positionV relativeFrom="page">
            <wp:posOffset>3175</wp:posOffset>
          </wp:positionV>
          <wp:extent cx="7559675" cy="10685145"/>
          <wp:effectExtent l="0" t="0" r="0" b="0"/>
          <wp:wrapNone/>
          <wp:docPr id="153947395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4714">
      <w:rPr>
        <w14:ligatures w14:val="standardContextual"/>
      </w:rPr>
      <w:drawing>
        <wp:anchor distT="0" distB="0" distL="114300" distR="114300" simplePos="0" relativeHeight="251659264" behindDoc="1" locked="1" layoutInCell="1" allowOverlap="1" wp14:anchorId="5C188135" wp14:editId="7CEC94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0" cy="0"/>
          <wp:effectExtent l="0" t="0" r="0" b="0"/>
          <wp:wrapNone/>
          <wp:docPr id="438538944" name="Image 1" descr="Une image contenant capture d’écran, Graphique, vert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capture d’écran, Graphique, vert,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30CD" w14:textId="7A2756E1" w:rsidR="00AB67AE" w:rsidRPr="00AC4714" w:rsidRDefault="00AB67AE">
    <w:pPr>
      <w:pStyle w:val="Header"/>
    </w:pPr>
    <w:r w:rsidRPr="00AC4714">
      <w:drawing>
        <wp:anchor distT="0" distB="0" distL="114300" distR="114300" simplePos="0" relativeHeight="251658240" behindDoc="1" locked="1" layoutInCell="1" allowOverlap="1" wp14:anchorId="523CEB9A" wp14:editId="4B2C93F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02855" cy="10746105"/>
          <wp:effectExtent l="0" t="0" r="4445" b="0"/>
          <wp:wrapNone/>
          <wp:docPr id="2342944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29440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55" cy="1074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240" w:hanging="114"/>
      </w:pPr>
      <w:rPr>
        <w:rFonts w:ascii="Arial" w:hAnsi="Arial"/>
        <w:b w:val="0"/>
        <w:color w:val="034EA2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1" w15:restartNumberingAfterBreak="0">
    <w:nsid w:val="04FA26A9"/>
    <w:multiLevelType w:val="multilevel"/>
    <w:tmpl w:val="322ACBA4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hint="default"/>
        <w:b w:val="0"/>
        <w:color w:val="034EA2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2" w15:restartNumberingAfterBreak="0">
    <w:nsid w:val="059F65EA"/>
    <w:multiLevelType w:val="multilevel"/>
    <w:tmpl w:val="765ABE4E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hint="default"/>
        <w:b w:val="0"/>
        <w:color w:val="034EA2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3" w15:restartNumberingAfterBreak="0">
    <w:nsid w:val="0E9061AC"/>
    <w:multiLevelType w:val="multilevel"/>
    <w:tmpl w:val="BDE216E2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cs="Symbol" w:hint="default"/>
        <w:b w:val="0"/>
        <w:color w:val="006017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4" w15:restartNumberingAfterBreak="0">
    <w:nsid w:val="1C62152E"/>
    <w:multiLevelType w:val="multilevel"/>
    <w:tmpl w:val="BDE216E2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cs="Symbol" w:hint="default"/>
        <w:b w:val="0"/>
        <w:color w:val="006017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5" w15:restartNumberingAfterBreak="0">
    <w:nsid w:val="3A1E4960"/>
    <w:multiLevelType w:val="multilevel"/>
    <w:tmpl w:val="BDE216E2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cs="Symbol" w:hint="default"/>
        <w:b w:val="0"/>
        <w:color w:val="006017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6" w15:restartNumberingAfterBreak="0">
    <w:nsid w:val="4AF37F24"/>
    <w:multiLevelType w:val="multilevel"/>
    <w:tmpl w:val="BDE216E2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cs="Symbol" w:hint="default"/>
        <w:b w:val="0"/>
        <w:color w:val="006017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7" w15:restartNumberingAfterBreak="0">
    <w:nsid w:val="53F52CC2"/>
    <w:multiLevelType w:val="multilevel"/>
    <w:tmpl w:val="BDE216E2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cs="Symbol" w:hint="default"/>
        <w:b w:val="0"/>
        <w:color w:val="006017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8" w15:restartNumberingAfterBreak="0">
    <w:nsid w:val="54FD2431"/>
    <w:multiLevelType w:val="multilevel"/>
    <w:tmpl w:val="7444B48A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hint="default"/>
        <w:b w:val="0"/>
        <w:color w:val="034EA2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9" w15:restartNumberingAfterBreak="0">
    <w:nsid w:val="694725BD"/>
    <w:multiLevelType w:val="multilevel"/>
    <w:tmpl w:val="BDE216E2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cs="Symbol" w:hint="default"/>
        <w:b w:val="0"/>
        <w:color w:val="006017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abstractNum w:abstractNumId="10" w15:restartNumberingAfterBreak="0">
    <w:nsid w:val="72073A4F"/>
    <w:multiLevelType w:val="multilevel"/>
    <w:tmpl w:val="BDE216E2"/>
    <w:lvl w:ilvl="0">
      <w:start w:val="1"/>
      <w:numFmt w:val="bullet"/>
      <w:lvlText w:val=""/>
      <w:lvlJc w:val="left"/>
      <w:pPr>
        <w:ind w:left="486" w:hanging="360"/>
      </w:pPr>
      <w:rPr>
        <w:rFonts w:ascii="Symbol" w:hAnsi="Symbol" w:cs="Symbol" w:hint="default"/>
        <w:b w:val="0"/>
        <w:color w:val="006017"/>
        <w:w w:val="100"/>
        <w:sz w:val="18"/>
      </w:rPr>
    </w:lvl>
    <w:lvl w:ilvl="1">
      <w:numFmt w:val="bullet"/>
      <w:lvlText w:val="ï"/>
      <w:lvlJc w:val="left"/>
      <w:pPr>
        <w:ind w:left="1112" w:hanging="114"/>
      </w:pPr>
    </w:lvl>
    <w:lvl w:ilvl="2">
      <w:numFmt w:val="bullet"/>
      <w:lvlText w:val="ï"/>
      <w:lvlJc w:val="left"/>
      <w:pPr>
        <w:ind w:left="1985" w:hanging="114"/>
      </w:pPr>
    </w:lvl>
    <w:lvl w:ilvl="3">
      <w:numFmt w:val="bullet"/>
      <w:lvlText w:val="ï"/>
      <w:lvlJc w:val="left"/>
      <w:pPr>
        <w:ind w:left="2858" w:hanging="114"/>
      </w:pPr>
    </w:lvl>
    <w:lvl w:ilvl="4">
      <w:numFmt w:val="bullet"/>
      <w:lvlText w:val="ï"/>
      <w:lvlJc w:val="left"/>
      <w:pPr>
        <w:ind w:left="3730" w:hanging="114"/>
      </w:pPr>
    </w:lvl>
    <w:lvl w:ilvl="5">
      <w:numFmt w:val="bullet"/>
      <w:lvlText w:val="ï"/>
      <w:lvlJc w:val="left"/>
      <w:pPr>
        <w:ind w:left="4603" w:hanging="114"/>
      </w:pPr>
    </w:lvl>
    <w:lvl w:ilvl="6">
      <w:numFmt w:val="bullet"/>
      <w:lvlText w:val="ï"/>
      <w:lvlJc w:val="left"/>
      <w:pPr>
        <w:ind w:left="5476" w:hanging="114"/>
      </w:pPr>
    </w:lvl>
    <w:lvl w:ilvl="7">
      <w:numFmt w:val="bullet"/>
      <w:lvlText w:val="ï"/>
      <w:lvlJc w:val="left"/>
      <w:pPr>
        <w:ind w:left="6348" w:hanging="114"/>
      </w:pPr>
    </w:lvl>
    <w:lvl w:ilvl="8">
      <w:numFmt w:val="bullet"/>
      <w:lvlText w:val="ï"/>
      <w:lvlJc w:val="left"/>
      <w:pPr>
        <w:ind w:left="7221" w:hanging="114"/>
      </w:pPr>
    </w:lvl>
  </w:abstractNum>
  <w:num w:numId="1" w16cid:durableId="713233203">
    <w:abstractNumId w:val="0"/>
  </w:num>
  <w:num w:numId="2" w16cid:durableId="1499735292">
    <w:abstractNumId w:val="1"/>
  </w:num>
  <w:num w:numId="3" w16cid:durableId="411198108">
    <w:abstractNumId w:val="8"/>
  </w:num>
  <w:num w:numId="4" w16cid:durableId="375815164">
    <w:abstractNumId w:val="2"/>
  </w:num>
  <w:num w:numId="5" w16cid:durableId="1959944123">
    <w:abstractNumId w:val="9"/>
  </w:num>
  <w:num w:numId="6" w16cid:durableId="1961911912">
    <w:abstractNumId w:val="10"/>
  </w:num>
  <w:num w:numId="7" w16cid:durableId="907613613">
    <w:abstractNumId w:val="7"/>
  </w:num>
  <w:num w:numId="8" w16cid:durableId="1433428502">
    <w:abstractNumId w:val="5"/>
  </w:num>
  <w:num w:numId="9" w16cid:durableId="1154375216">
    <w:abstractNumId w:val="4"/>
  </w:num>
  <w:num w:numId="10" w16cid:durableId="906956221">
    <w:abstractNumId w:val="6"/>
  </w:num>
  <w:num w:numId="11" w16cid:durableId="174225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2sDQ1NDE3NbMwMTBQ0lEKTi0uzszPAykwrAUA2n08jCwAAAA="/>
  </w:docVars>
  <w:rsids>
    <w:rsidRoot w:val="00AB67AE"/>
    <w:rsid w:val="00030296"/>
    <w:rsid w:val="00052796"/>
    <w:rsid w:val="00093BA5"/>
    <w:rsid w:val="000A2651"/>
    <w:rsid w:val="000B5E09"/>
    <w:rsid w:val="000C6613"/>
    <w:rsid w:val="000E2149"/>
    <w:rsid w:val="000F4B41"/>
    <w:rsid w:val="000F71C1"/>
    <w:rsid w:val="00151903"/>
    <w:rsid w:val="00185D17"/>
    <w:rsid w:val="00196DA8"/>
    <w:rsid w:val="001D2182"/>
    <w:rsid w:val="001E5171"/>
    <w:rsid w:val="00215BAB"/>
    <w:rsid w:val="00292259"/>
    <w:rsid w:val="002C07BE"/>
    <w:rsid w:val="002C29A0"/>
    <w:rsid w:val="002D5055"/>
    <w:rsid w:val="002F269C"/>
    <w:rsid w:val="00364D47"/>
    <w:rsid w:val="003919D6"/>
    <w:rsid w:val="00416D1C"/>
    <w:rsid w:val="004342C5"/>
    <w:rsid w:val="00447148"/>
    <w:rsid w:val="00474FEA"/>
    <w:rsid w:val="00514F10"/>
    <w:rsid w:val="0054750B"/>
    <w:rsid w:val="005A1CB8"/>
    <w:rsid w:val="00616D7A"/>
    <w:rsid w:val="00663863"/>
    <w:rsid w:val="006E38FC"/>
    <w:rsid w:val="007055B6"/>
    <w:rsid w:val="00710DF9"/>
    <w:rsid w:val="00762FFC"/>
    <w:rsid w:val="007A40C9"/>
    <w:rsid w:val="007D3B10"/>
    <w:rsid w:val="00842E7B"/>
    <w:rsid w:val="00941C34"/>
    <w:rsid w:val="00967BA8"/>
    <w:rsid w:val="009B1B39"/>
    <w:rsid w:val="009B45D7"/>
    <w:rsid w:val="009C66AB"/>
    <w:rsid w:val="009F6A87"/>
    <w:rsid w:val="00A24AD0"/>
    <w:rsid w:val="00A52F3A"/>
    <w:rsid w:val="00A74216"/>
    <w:rsid w:val="00AB67AE"/>
    <w:rsid w:val="00AC4714"/>
    <w:rsid w:val="00AC7518"/>
    <w:rsid w:val="00AD049B"/>
    <w:rsid w:val="00B23FDF"/>
    <w:rsid w:val="00B37D29"/>
    <w:rsid w:val="00BC603E"/>
    <w:rsid w:val="00BD37FB"/>
    <w:rsid w:val="00BF1AE3"/>
    <w:rsid w:val="00C46114"/>
    <w:rsid w:val="00C657DD"/>
    <w:rsid w:val="00CA1E19"/>
    <w:rsid w:val="00CA36FD"/>
    <w:rsid w:val="00CF0A37"/>
    <w:rsid w:val="00D221ED"/>
    <w:rsid w:val="00D246C9"/>
    <w:rsid w:val="00D54E97"/>
    <w:rsid w:val="00E45009"/>
    <w:rsid w:val="00E52BDC"/>
    <w:rsid w:val="00E57FF8"/>
    <w:rsid w:val="00EC4764"/>
    <w:rsid w:val="00EE7D61"/>
    <w:rsid w:val="00F00236"/>
    <w:rsid w:val="00FA7D01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AAD02"/>
  <w15:chartTrackingRefBased/>
  <w15:docId w15:val="{82145879-CF03-DB42-90E4-C5FFE9ED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67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B6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B6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B6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7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67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7AE"/>
  </w:style>
  <w:style w:type="paragraph" w:styleId="Footer">
    <w:name w:val="footer"/>
    <w:basedOn w:val="Normal"/>
    <w:link w:val="FooterChar"/>
    <w:uiPriority w:val="99"/>
    <w:unhideWhenUsed/>
    <w:rsid w:val="00AB67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7AE"/>
  </w:style>
  <w:style w:type="paragraph" w:styleId="BodyText">
    <w:name w:val="Body Text"/>
    <w:basedOn w:val="Normal"/>
    <w:link w:val="BodyTextChar"/>
    <w:uiPriority w:val="1"/>
    <w:qFormat/>
    <w:rsid w:val="00AB67AE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AB67AE"/>
    <w:rPr>
      <w:rFonts w:ascii="Arial" w:eastAsia="Batang" w:hAnsi="Arial" w:cs="Arial"/>
      <w:kern w:val="0"/>
      <w:sz w:val="18"/>
      <w:szCs w:val="18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AC7518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val="fr-BE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783BD09D2784CBB33718AA4524591" ma:contentTypeVersion="19" ma:contentTypeDescription="Create a new document." ma:contentTypeScope="" ma:versionID="71fa31147298b985a3ab18abf202ce51">
  <xsd:schema xmlns:xsd="http://www.w3.org/2001/XMLSchema" xmlns:xs="http://www.w3.org/2001/XMLSchema" xmlns:p="http://schemas.microsoft.com/office/2006/metadata/properties" xmlns:ns2="9f558f47-4044-4b71-b7bc-60a45eec5f7a" xmlns:ns3="8891da1e-df6b-47c8-9e59-9c42c5e1de87" targetNamespace="http://schemas.microsoft.com/office/2006/metadata/properties" ma:root="true" ma:fieldsID="ab96bbc8b60e05b184fe3c358ab15f34" ns2:_="" ns3:_="">
    <xsd:import namespace="9f558f47-4044-4b71-b7bc-60a45eec5f7a"/>
    <xsd:import namespace="8891da1e-df6b-47c8-9e59-9c42c5e1d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58f47-4044-4b71-b7bc-60a45eec5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8fec97-4db1-4dc0-b8a4-754093c2b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da1e-df6b-47c8-9e59-9c42c5e1de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9c3790-c91a-4b5d-b6d2-d1faeb530cd0}" ma:internalName="TaxCatchAll" ma:showField="CatchAllData" ma:web="8891da1e-df6b-47c8-9e59-9c42c5e1d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558f47-4044-4b71-b7bc-60a45eec5f7a">
      <Terms xmlns="http://schemas.microsoft.com/office/infopath/2007/PartnerControls"/>
    </lcf76f155ced4ddcb4097134ff3c332f>
    <TaxCatchAll xmlns="8891da1e-df6b-47c8-9e59-9c42c5e1de87" xsi:nil="true"/>
  </documentManagement>
</p:properties>
</file>

<file path=customXml/itemProps1.xml><?xml version="1.0" encoding="utf-8"?>
<ds:datastoreItem xmlns:ds="http://schemas.openxmlformats.org/officeDocument/2006/customXml" ds:itemID="{9C2F33E6-408D-4543-B81E-D7A65885B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D3D6A-8F05-41FA-8A4E-DFFB80A5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58f47-4044-4b71-b7bc-60a45eec5f7a"/>
    <ds:schemaRef ds:uri="8891da1e-df6b-47c8-9e59-9c42c5e1d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1CC272-F865-5C44-8100-8C4B00C8C3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261479-9DFD-4149-859C-66C87F3A572F}">
  <ds:schemaRefs>
    <ds:schemaRef ds:uri="http://schemas.microsoft.com/office/2006/metadata/properties"/>
    <ds:schemaRef ds:uri="http://schemas.microsoft.com/office/infopath/2007/PartnerControls"/>
    <ds:schemaRef ds:uri="33e07890-6196-4e26-9dd2-53178dae8e48"/>
    <ds:schemaRef ds:uri="faa54b14-608b-44ba-8621-4287d9574b27"/>
    <ds:schemaRef ds:uri="http://schemas.microsoft.com/sharepoint/v3"/>
    <ds:schemaRef ds:uri="9f558f47-4044-4b71-b7bc-60a45eec5f7a"/>
    <ds:schemaRef ds:uri="8891da1e-df6b-47c8-9e59-9c42c5e1de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Hyemin Lee</dc:creator>
  <cp:keywords/>
  <dc:description/>
  <cp:lastModifiedBy>Cécile Degrelle</cp:lastModifiedBy>
  <cp:revision>16</cp:revision>
  <cp:lastPrinted>2025-03-28T15:25:00Z</cp:lastPrinted>
  <dcterms:created xsi:type="dcterms:W3CDTF">2025-05-20T13:01:00Z</dcterms:created>
  <dcterms:modified xsi:type="dcterms:W3CDTF">2025-05-21T14:16:00Z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0x0101003E0783BD09D2784CBB33718AA4524591</vt:lpwstr>
  </property>
  <property fmtid="{D5CDD505-2E9C-101B-9397-08002B2CF9AE}" pid="3" name="MediaServiceImageTags">
    <vt:lpwstr/>
  </property>
</Properties>
</file>